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16FAC" w14:textId="77777777" w:rsidR="002D7CFB" w:rsidRDefault="001101C4">
      <w:pPr>
        <w:pStyle w:val="Header"/>
        <w:tabs>
          <w:tab w:val="clear" w:pos="4536"/>
          <w:tab w:val="clear" w:pos="9072"/>
          <w:tab w:val="right" w:pos="9360"/>
        </w:tabs>
        <w:rPr>
          <w:rFonts w:eastAsiaTheme="minorEastAsia"/>
          <w:sz w:val="22"/>
          <w:szCs w:val="22"/>
          <w:lang w:eastAsia="zh-CN"/>
        </w:rPr>
      </w:pPr>
      <w:r>
        <w:rPr>
          <w:rFonts w:eastAsiaTheme="minorEastAsia" w:hint="eastAsia"/>
          <w:sz w:val="22"/>
          <w:szCs w:val="22"/>
          <w:lang w:eastAsia="zh-CN"/>
        </w:rPr>
        <w:t>3GPP TSG RAN WG1 Meeting #</w:t>
      </w:r>
      <w:r>
        <w:rPr>
          <w:rFonts w:eastAsiaTheme="minorEastAsia" w:hint="eastAsia"/>
          <w:sz w:val="22"/>
          <w:szCs w:val="22"/>
          <w:lang w:eastAsia="ja-JP"/>
        </w:rPr>
        <w:t>90</w:t>
      </w:r>
      <w:r>
        <w:rPr>
          <w:rFonts w:eastAsiaTheme="minorEastAsia" w:hint="eastAsia"/>
          <w:sz w:val="22"/>
          <w:szCs w:val="22"/>
          <w:lang w:eastAsia="zh-CN"/>
        </w:rPr>
        <w:t xml:space="preserve">                                                                         </w:t>
      </w:r>
      <w:r>
        <w:rPr>
          <w:rFonts w:eastAsiaTheme="minorEastAsia" w:hint="eastAsia"/>
          <w:sz w:val="22"/>
          <w:szCs w:val="22"/>
          <w:lang w:eastAsia="zh-CN"/>
        </w:rPr>
        <w:t xml:space="preserve">  </w:t>
      </w:r>
      <w:r>
        <w:rPr>
          <w:rFonts w:eastAsiaTheme="minorEastAsia" w:hint="eastAsia"/>
          <w:sz w:val="22"/>
          <w:szCs w:val="22"/>
          <w:lang w:eastAsia="zh-CN"/>
        </w:rPr>
        <w:t>R1-17</w:t>
      </w:r>
      <w:r>
        <w:rPr>
          <w:rFonts w:eastAsiaTheme="minorEastAsia" w:hint="eastAsia"/>
          <w:sz w:val="22"/>
          <w:szCs w:val="22"/>
          <w:lang w:eastAsia="zh-CN"/>
        </w:rPr>
        <w:t>12293</w:t>
      </w:r>
    </w:p>
    <w:p w14:paraId="7F65E30F" w14:textId="77777777" w:rsidR="002D7CFB" w:rsidRDefault="001101C4">
      <w:pPr>
        <w:pStyle w:val="Header"/>
        <w:tabs>
          <w:tab w:val="clear" w:pos="4536"/>
        </w:tabs>
        <w:spacing w:after="240"/>
        <w:ind w:left="1870" w:hangingChars="850" w:hanging="1870"/>
        <w:rPr>
          <w:rFonts w:eastAsiaTheme="minorEastAsia"/>
          <w:sz w:val="22"/>
          <w:szCs w:val="22"/>
          <w:lang w:eastAsia="zh-CN"/>
        </w:rPr>
      </w:pPr>
      <w:r>
        <w:rPr>
          <w:rFonts w:eastAsiaTheme="minorEastAsia" w:hint="eastAsia"/>
          <w:sz w:val="22"/>
          <w:szCs w:val="22"/>
          <w:lang w:eastAsia="ja-JP"/>
        </w:rPr>
        <w:t>Prague</w:t>
      </w:r>
      <w:r>
        <w:rPr>
          <w:rFonts w:eastAsiaTheme="minorEastAsia" w:hint="eastAsia"/>
          <w:sz w:val="22"/>
          <w:szCs w:val="22"/>
          <w:lang w:eastAsia="zh-CN"/>
        </w:rPr>
        <w:t xml:space="preserve">, </w:t>
      </w:r>
      <w:r>
        <w:rPr>
          <w:rFonts w:eastAsiaTheme="minorEastAsia" w:hint="eastAsia"/>
          <w:sz w:val="22"/>
          <w:szCs w:val="22"/>
          <w:lang w:eastAsia="ja-JP"/>
        </w:rPr>
        <w:t>Czech</w:t>
      </w:r>
      <w:r>
        <w:rPr>
          <w:rFonts w:eastAsiaTheme="minorEastAsia"/>
          <w:sz w:val="22"/>
          <w:szCs w:val="22"/>
          <w:lang w:eastAsia="ja-JP"/>
        </w:rPr>
        <w:t>ia</w:t>
      </w:r>
      <w:bookmarkStart w:id="0" w:name="_GoBack"/>
      <w:bookmarkEnd w:id="0"/>
      <w:r>
        <w:rPr>
          <w:rFonts w:eastAsiaTheme="minorEastAsia" w:hint="eastAsia"/>
          <w:sz w:val="22"/>
          <w:szCs w:val="22"/>
          <w:lang w:eastAsia="zh-CN"/>
        </w:rPr>
        <w:t xml:space="preserve"> </w:t>
      </w:r>
      <w:r>
        <w:rPr>
          <w:rFonts w:eastAsiaTheme="minorEastAsia" w:hint="eastAsia"/>
          <w:sz w:val="22"/>
          <w:szCs w:val="22"/>
          <w:lang w:eastAsia="ja-JP"/>
        </w:rPr>
        <w:t>21</w:t>
      </w:r>
      <w:r>
        <w:rPr>
          <w:rFonts w:eastAsiaTheme="minorEastAsia" w:hint="eastAsia"/>
          <w:sz w:val="22"/>
          <w:szCs w:val="22"/>
          <w:lang w:eastAsia="zh-CN"/>
        </w:rPr>
        <w:t>st</w:t>
      </w:r>
      <w:r>
        <w:rPr>
          <w:rFonts w:eastAsiaTheme="minorEastAsia" w:hint="eastAsia"/>
          <w:sz w:val="22"/>
          <w:szCs w:val="22"/>
          <w:lang w:eastAsia="zh-CN"/>
        </w:rPr>
        <w:t xml:space="preserve"> - </w:t>
      </w:r>
      <w:r>
        <w:rPr>
          <w:rFonts w:eastAsiaTheme="minorEastAsia" w:hint="eastAsia"/>
          <w:sz w:val="22"/>
          <w:szCs w:val="22"/>
          <w:lang w:eastAsia="ja-JP"/>
        </w:rPr>
        <w:t>25th</w:t>
      </w:r>
      <w:r>
        <w:rPr>
          <w:rFonts w:eastAsiaTheme="minorEastAsia" w:hint="eastAsia"/>
          <w:sz w:val="22"/>
          <w:szCs w:val="22"/>
          <w:lang w:eastAsia="zh-CN"/>
        </w:rPr>
        <w:t xml:space="preserve"> </w:t>
      </w:r>
      <w:r>
        <w:rPr>
          <w:rFonts w:eastAsiaTheme="minorEastAsia" w:hint="eastAsia"/>
          <w:sz w:val="22"/>
          <w:szCs w:val="22"/>
          <w:lang w:eastAsia="ja-JP"/>
        </w:rPr>
        <w:t>August</w:t>
      </w:r>
      <w:r>
        <w:rPr>
          <w:rFonts w:eastAsiaTheme="minorEastAsia" w:hint="eastAsia"/>
          <w:sz w:val="22"/>
          <w:szCs w:val="22"/>
          <w:lang w:eastAsia="zh-CN"/>
        </w:rPr>
        <w:t xml:space="preserve"> 201</w:t>
      </w:r>
      <w:r>
        <w:t>7</w:t>
      </w:r>
    </w:p>
    <w:p w14:paraId="02C4C4E4" w14:textId="77777777" w:rsidR="002D7CFB" w:rsidRDefault="001101C4">
      <w:pPr>
        <w:pStyle w:val="Header"/>
        <w:tabs>
          <w:tab w:val="clear" w:pos="4536"/>
          <w:tab w:val="left" w:pos="1805"/>
        </w:tabs>
        <w:adjustRightInd w:val="0"/>
        <w:snapToGrid w:val="0"/>
        <w:spacing w:before="24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14:paraId="51C21DD8" w14:textId="77777777" w:rsidR="002D7CFB" w:rsidRDefault="001101C4">
      <w:pPr>
        <w:pStyle w:val="Header"/>
        <w:tabs>
          <w:tab w:val="left" w:pos="1800"/>
        </w:tabs>
        <w:adjustRightInd w:val="0"/>
        <w:snapToGrid w:val="0"/>
        <w:ind w:left="1830" w:hangingChars="832" w:hanging="183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Details of CSI </w:t>
      </w:r>
      <w:r>
        <w:rPr>
          <w:rFonts w:eastAsia="宋体" w:cs="Arial" w:hint="eastAsia"/>
          <w:bCs/>
          <w:sz w:val="22"/>
          <w:szCs w:val="22"/>
          <w:lang w:eastAsia="zh-CN"/>
        </w:rPr>
        <w:t xml:space="preserve">measurement </w:t>
      </w:r>
      <w:r>
        <w:rPr>
          <w:rStyle w:val="apple-converted-space"/>
          <w:rFonts w:ascii="Times New Roman" w:eastAsia="宋体" w:hAnsi="Times New Roman"/>
          <w:b w:val="0"/>
          <w:i/>
          <w:color w:val="FF0000"/>
          <w:sz w:val="36"/>
          <w:szCs w:val="36"/>
          <w:shd w:val="clear" w:color="auto" w:fill="FFFFFF"/>
        </w:rPr>
        <w:t> </w:t>
      </w:r>
    </w:p>
    <w:p w14:paraId="1EFFB819" w14:textId="77777777" w:rsidR="002D7CFB" w:rsidRDefault="001101C4">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r>
      <w:r>
        <w:rPr>
          <w:rFonts w:eastAsia="宋体" w:cs="Arial" w:hint="eastAsia"/>
          <w:bCs/>
          <w:sz w:val="22"/>
          <w:szCs w:val="22"/>
          <w:lang w:eastAsia="zh-CN"/>
        </w:rPr>
        <w:t>6</w:t>
      </w:r>
      <w:r>
        <w:rPr>
          <w:rFonts w:eastAsia="宋体" w:cs="Arial" w:hint="eastAsia"/>
          <w:bCs/>
          <w:sz w:val="22"/>
          <w:szCs w:val="22"/>
          <w:lang w:eastAsia="zh-CN"/>
        </w:rPr>
        <w:t>.1.2.</w:t>
      </w:r>
      <w:r>
        <w:rPr>
          <w:rFonts w:eastAsia="宋体" w:cs="Arial" w:hint="eastAsia"/>
          <w:bCs/>
          <w:sz w:val="22"/>
          <w:szCs w:val="22"/>
          <w:lang w:eastAsia="zh-CN"/>
        </w:rPr>
        <w:t>2</w:t>
      </w:r>
      <w:r>
        <w:rPr>
          <w:rFonts w:eastAsia="宋体" w:cs="Arial" w:hint="eastAsia"/>
          <w:bCs/>
          <w:sz w:val="22"/>
          <w:szCs w:val="22"/>
          <w:lang w:eastAsia="zh-CN"/>
        </w:rPr>
        <w:t>.2</w:t>
      </w:r>
    </w:p>
    <w:p w14:paraId="53464C48" w14:textId="77777777" w:rsidR="002D7CFB" w:rsidRDefault="001101C4">
      <w:pPr>
        <w:pBdr>
          <w:bottom w:val="single" w:sz="6" w:space="1" w:color="auto"/>
        </w:pBdr>
        <w:spacing w:line="240" w:lineRule="auto"/>
        <w:ind w:left="1797" w:hanging="1797"/>
        <w:rPr>
          <w:rFonts w:ascii="Arial" w:hAnsi="Arial"/>
          <w:b/>
          <w:sz w:val="22"/>
        </w:rPr>
      </w:pPr>
      <w:r>
        <w:rPr>
          <w:rFonts w:ascii="Arial" w:hAnsi="Arial"/>
          <w:b/>
          <w:sz w:val="22"/>
        </w:rPr>
        <w:t>Document for:</w:t>
      </w:r>
      <w:r>
        <w:rPr>
          <w:rFonts w:ascii="Arial" w:hAnsi="Arial"/>
          <w:b/>
          <w:sz w:val="22"/>
          <w:lang w:eastAsia="ja-JP"/>
        </w:rPr>
        <w:t xml:space="preserve"> </w:t>
      </w:r>
      <w:r>
        <w:rPr>
          <w:rFonts w:ascii="Arial" w:hAnsi="Arial" w:hint="eastAsia"/>
          <w:b/>
          <w:sz w:val="22"/>
        </w:rPr>
        <w:t xml:space="preserve">   </w:t>
      </w:r>
      <w:r>
        <w:rPr>
          <w:rFonts w:ascii="Arial" w:hAnsi="Arial"/>
          <w:b/>
          <w:sz w:val="22"/>
        </w:rPr>
        <w:t xml:space="preserve"> </w:t>
      </w:r>
      <w:r>
        <w:rPr>
          <w:rFonts w:ascii="Arial" w:hAnsi="Arial"/>
          <w:b/>
          <w:sz w:val="22"/>
          <w:lang w:eastAsia="ja-JP"/>
        </w:rPr>
        <w:t xml:space="preserve">Discussion </w:t>
      </w:r>
      <w:r>
        <w:rPr>
          <w:rFonts w:ascii="Arial" w:hAnsi="Arial"/>
          <w:b/>
          <w:sz w:val="22"/>
          <w:lang w:eastAsia="ja-JP"/>
        </w:rPr>
        <w:t>and Decision</w:t>
      </w:r>
    </w:p>
    <w:p w14:paraId="4AE93EA5" w14:textId="77777777" w:rsidR="002D7CFB" w:rsidRDefault="001101C4">
      <w:pPr>
        <w:pStyle w:val="10"/>
        <w:numPr>
          <w:ilvl w:val="0"/>
          <w:numId w:val="7"/>
        </w:numPr>
        <w:spacing w:before="120" w:after="200"/>
        <w:ind w:firstLineChars="0"/>
        <w:rPr>
          <w:rFonts w:hAnsi="宋体"/>
          <w:b/>
          <w:sz w:val="24"/>
          <w:szCs w:val="20"/>
        </w:rPr>
      </w:pPr>
      <w:r>
        <w:rPr>
          <w:rFonts w:hAnsi="宋体"/>
          <w:b/>
          <w:sz w:val="24"/>
          <w:szCs w:val="20"/>
        </w:rPr>
        <w:t>Introduction</w:t>
      </w:r>
    </w:p>
    <w:p w14:paraId="71152DA2" w14:textId="77777777" w:rsidR="002D7CFB" w:rsidRDefault="001101C4">
      <w:pPr>
        <w:adjustRightInd w:val="0"/>
        <w:snapToGrid w:val="0"/>
        <w:spacing w:before="120" w:after="200" w:line="240" w:lineRule="auto"/>
        <w:rPr>
          <w:rFonts w:hAnsi="宋体"/>
          <w:szCs w:val="20"/>
        </w:rPr>
      </w:pPr>
      <w:r>
        <w:rPr>
          <w:rFonts w:hAnsi="宋体"/>
          <w:szCs w:val="20"/>
        </w:rPr>
        <w:t xml:space="preserve">In </w:t>
      </w:r>
      <w:r>
        <w:rPr>
          <w:rFonts w:hAnsi="宋体" w:hint="eastAsia"/>
          <w:szCs w:val="20"/>
        </w:rPr>
        <w:t>RAN1#89, the following agreement is made on interference measurement schemes [1].</w:t>
      </w:r>
    </w:p>
    <w:p w14:paraId="54849D0E" w14:textId="77777777" w:rsidR="002D7CFB" w:rsidRDefault="001101C4">
      <w:pPr>
        <w:outlineLvl w:val="0"/>
        <w:rPr>
          <w:rFonts w:eastAsiaTheme="minorEastAsia"/>
          <w:b/>
          <w:i/>
          <w:u w:val="single"/>
        </w:rPr>
      </w:pPr>
      <w:r>
        <w:rPr>
          <w:rFonts w:eastAsiaTheme="minorEastAsia" w:hint="eastAsia"/>
          <w:b/>
          <w:i/>
          <w:u w:val="single"/>
        </w:rPr>
        <w:t>Agreements:</w:t>
      </w:r>
    </w:p>
    <w:p w14:paraId="7E8A1001" w14:textId="77777777" w:rsidR="002D7CFB" w:rsidRDefault="001101C4">
      <w:pPr>
        <w:numPr>
          <w:ilvl w:val="0"/>
          <w:numId w:val="8"/>
        </w:numPr>
        <w:adjustRightInd w:val="0"/>
        <w:snapToGrid w:val="0"/>
        <w:spacing w:line="240" w:lineRule="auto"/>
        <w:rPr>
          <w:rFonts w:eastAsia="MS Mincho"/>
          <w:i/>
          <w:iCs/>
          <w:szCs w:val="20"/>
          <w:lang w:eastAsia="ja-JP"/>
        </w:rPr>
      </w:pPr>
      <w:r>
        <w:rPr>
          <w:rFonts w:eastAsia="MS Mincho"/>
          <w:i/>
          <w:iCs/>
          <w:szCs w:val="20"/>
          <w:lang w:eastAsia="ja-JP"/>
        </w:rPr>
        <w:t xml:space="preserve">Support at least NZP CSI-RS based interference measurement </w:t>
      </w:r>
    </w:p>
    <w:p w14:paraId="1194E21D" w14:textId="77777777" w:rsidR="002D7CFB" w:rsidRDefault="001101C4">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select at least one of following scheme</w:t>
      </w:r>
    </w:p>
    <w:p w14:paraId="17B32DCE" w14:textId="77777777" w:rsidR="002D7CFB" w:rsidRDefault="001101C4">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Scheme-1: Estimation on NZP CSI-R</w:t>
      </w:r>
      <w:r>
        <w:rPr>
          <w:rFonts w:eastAsia="MS Mincho"/>
          <w:i/>
          <w:iCs/>
          <w:szCs w:val="20"/>
          <w:lang w:eastAsia="ja-JP"/>
        </w:rPr>
        <w:t>S for channel estimation (by subtracting NZP CSI-RS from Rx signal)</w:t>
      </w:r>
    </w:p>
    <w:p w14:paraId="4FF10550" w14:textId="77777777" w:rsidR="002D7CFB" w:rsidRDefault="001101C4">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Scheme-2: Emulation on NZP CSI-RS which is represented by multiplied value of channel and precoding matrix</w:t>
      </w:r>
    </w:p>
    <w:p w14:paraId="6C65A0DB" w14:textId="77777777" w:rsidR="002D7CFB" w:rsidRDefault="001101C4">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Aim to conclude whether to support one of them or both in the next RAN1 meeting</w:t>
      </w:r>
    </w:p>
    <w:p w14:paraId="11D8E6C0" w14:textId="77777777" w:rsidR="002D7CFB" w:rsidRDefault="001101C4">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FFS whether or not to support signaling of power boosting for NZP CSI-RS</w:t>
      </w:r>
    </w:p>
    <w:p w14:paraId="49190A86" w14:textId="77777777" w:rsidR="002D7CFB" w:rsidRDefault="001101C4">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Other schemes are not precluded</w:t>
      </w:r>
    </w:p>
    <w:p w14:paraId="60B5880D" w14:textId="77777777" w:rsidR="002D7CFB" w:rsidRDefault="001101C4">
      <w:pPr>
        <w:numPr>
          <w:ilvl w:val="0"/>
          <w:numId w:val="8"/>
        </w:numPr>
        <w:adjustRightInd w:val="0"/>
        <w:snapToGrid w:val="0"/>
        <w:spacing w:line="240" w:lineRule="auto"/>
        <w:rPr>
          <w:rFonts w:eastAsia="MS Mincho"/>
          <w:i/>
          <w:iCs/>
          <w:szCs w:val="20"/>
          <w:lang w:eastAsia="ja-JP"/>
        </w:rPr>
      </w:pPr>
      <w:r>
        <w:rPr>
          <w:rFonts w:eastAsia="MS Mincho"/>
          <w:i/>
          <w:iCs/>
          <w:szCs w:val="20"/>
          <w:lang w:eastAsia="ja-JP"/>
        </w:rPr>
        <w:t>FFS whether or not support DM-RS based interference measurement, aim to decide in the next RAN1 meeting</w:t>
      </w:r>
    </w:p>
    <w:p w14:paraId="2F313E9A" w14:textId="77777777" w:rsidR="002D7CFB" w:rsidRDefault="001101C4">
      <w:pPr>
        <w:adjustRightInd w:val="0"/>
        <w:snapToGrid w:val="0"/>
        <w:spacing w:before="120" w:after="200"/>
        <w:rPr>
          <w:szCs w:val="20"/>
        </w:rPr>
      </w:pPr>
      <w:r>
        <w:rPr>
          <w:rFonts w:hAnsi="宋体" w:hint="eastAsia"/>
          <w:szCs w:val="20"/>
        </w:rPr>
        <w:t xml:space="preserve">In this contribution, we discuss some specific </w:t>
      </w:r>
      <w:r>
        <w:rPr>
          <w:rFonts w:hAnsi="宋体" w:hint="eastAsia"/>
          <w:szCs w:val="20"/>
        </w:rPr>
        <w:t>schemes on channel and interference measurement.</w:t>
      </w:r>
    </w:p>
    <w:p w14:paraId="0F3B78A8" w14:textId="77777777" w:rsidR="002D7CFB" w:rsidRDefault="001101C4">
      <w:pPr>
        <w:pStyle w:val="10"/>
        <w:numPr>
          <w:ilvl w:val="0"/>
          <w:numId w:val="7"/>
        </w:numPr>
        <w:spacing w:before="120" w:after="200"/>
        <w:ind w:firstLineChars="0"/>
        <w:rPr>
          <w:rFonts w:hAnsi="宋体"/>
          <w:b/>
          <w:sz w:val="24"/>
          <w:szCs w:val="20"/>
        </w:rPr>
      </w:pPr>
      <w:r>
        <w:rPr>
          <w:rFonts w:hAnsi="宋体"/>
          <w:b/>
          <w:sz w:val="24"/>
          <w:szCs w:val="20"/>
        </w:rPr>
        <w:t xml:space="preserve">Discussion on </w:t>
      </w:r>
      <w:r>
        <w:rPr>
          <w:rFonts w:hAnsi="宋体" w:hint="eastAsia"/>
          <w:b/>
          <w:sz w:val="24"/>
          <w:szCs w:val="20"/>
        </w:rPr>
        <w:t>channel and interference measurement</w:t>
      </w:r>
    </w:p>
    <w:p w14:paraId="77908F48" w14:textId="77777777" w:rsidR="002D7CFB" w:rsidRDefault="001101C4">
      <w:pPr>
        <w:spacing w:before="120" w:after="200"/>
        <w:rPr>
          <w:rFonts w:hAnsi="宋体"/>
          <w:b/>
          <w:sz w:val="22"/>
          <w:szCs w:val="20"/>
        </w:rPr>
      </w:pPr>
      <w:r>
        <w:rPr>
          <w:rFonts w:hAnsi="宋体" w:hint="eastAsia"/>
          <w:b/>
          <w:sz w:val="22"/>
          <w:szCs w:val="20"/>
        </w:rPr>
        <w:t>2.1 Interference measurement</w:t>
      </w:r>
    </w:p>
    <w:p w14:paraId="7FD5BD94" w14:textId="77777777" w:rsidR="002D7CFB" w:rsidRDefault="001101C4">
      <w:pPr>
        <w:adjustRightInd w:val="0"/>
        <w:snapToGrid w:val="0"/>
        <w:spacing w:before="120" w:after="200" w:line="240" w:lineRule="auto"/>
        <w:rPr>
          <w:rFonts w:hAnsi="宋体"/>
          <w:szCs w:val="20"/>
        </w:rPr>
      </w:pPr>
      <w:r>
        <w:rPr>
          <w:rFonts w:hAnsi="宋体" w:hint="eastAsia"/>
          <w:szCs w:val="20"/>
        </w:rPr>
        <w:t xml:space="preserve">Channel and interference measurement for CSI feedback has been discussed in RAN1 for quite long time. The state-of-art channel </w:t>
      </w:r>
      <w:r>
        <w:rPr>
          <w:rFonts w:hAnsi="宋体" w:hint="eastAsia"/>
          <w:szCs w:val="20"/>
        </w:rPr>
        <w:t xml:space="preserve">measurement is based on NZP CSI-RS. On the other hand, several approaches have been discussed in NR on interference measurement. One approach is the legacy IM approach used in LTE, i.e., IM based on ZP CSI-RS. However, some </w:t>
      </w:r>
      <w:r>
        <w:rPr>
          <w:rFonts w:hAnsi="宋体"/>
          <w:szCs w:val="20"/>
        </w:rPr>
        <w:t>concerns</w:t>
      </w:r>
      <w:r>
        <w:rPr>
          <w:rFonts w:hAnsi="宋体" w:hint="eastAsia"/>
          <w:szCs w:val="20"/>
        </w:rPr>
        <w:t xml:space="preserve"> on ZP CSI-RS based IM have been pointed out in [2]-[3], especially for MU-CSI. Specifically, as the real co-scheduled MU paired users may be different with the MU assumption UE makes for CSI calculation, </w:t>
      </w:r>
      <w:r>
        <w:rPr>
          <w:rFonts w:hAnsi="宋体"/>
          <w:szCs w:val="20"/>
        </w:rPr>
        <w:t>inaccurate</w:t>
      </w:r>
      <w:r>
        <w:rPr>
          <w:rFonts w:hAnsi="宋体" w:hint="eastAsia"/>
          <w:szCs w:val="20"/>
        </w:rPr>
        <w:t xml:space="preserve"> MU interference calculation occurs. </w:t>
      </w:r>
    </w:p>
    <w:p w14:paraId="45D6E3DB" w14:textId="77777777" w:rsidR="002D7CFB" w:rsidRDefault="001101C4">
      <w:pPr>
        <w:adjustRightInd w:val="0"/>
        <w:snapToGrid w:val="0"/>
        <w:spacing w:before="120" w:after="200" w:line="240" w:lineRule="auto"/>
        <w:rPr>
          <w:rFonts w:hAnsi="宋体"/>
          <w:szCs w:val="20"/>
        </w:rPr>
      </w:pPr>
      <w:r>
        <w:rPr>
          <w:rFonts w:hAnsi="宋体" w:hint="eastAsia"/>
          <w:szCs w:val="20"/>
        </w:rPr>
        <w:t>For</w:t>
      </w:r>
      <w:r>
        <w:rPr>
          <w:rFonts w:hAnsi="宋体" w:hint="eastAsia"/>
          <w:szCs w:val="20"/>
        </w:rPr>
        <w:t xml:space="preserve"> NZP CSI-RS based, the following two schemes have been identified.</w:t>
      </w:r>
    </w:p>
    <w:p w14:paraId="5FF02398" w14:textId="77777777" w:rsidR="002D7CFB" w:rsidRDefault="001101C4">
      <w:pPr>
        <w:adjustRightInd w:val="0"/>
        <w:snapToGrid w:val="0"/>
        <w:spacing w:before="120" w:after="200" w:line="240" w:lineRule="auto"/>
        <w:rPr>
          <w:rFonts w:hAnsi="宋体"/>
          <w:szCs w:val="20"/>
        </w:rPr>
      </w:pPr>
      <w:r>
        <w:rPr>
          <w:rFonts w:hAnsi="宋体" w:hint="eastAsia"/>
          <w:b/>
          <w:szCs w:val="20"/>
        </w:rPr>
        <w:t xml:space="preserve">Scheme 1: </w:t>
      </w:r>
      <w:r>
        <w:rPr>
          <w:rFonts w:hAnsi="宋体"/>
          <w:szCs w:val="20"/>
        </w:rPr>
        <w:t>Estimation on NZP CSI-RS for channel estimation (by subtracting CSI-RS from Rx signal)</w:t>
      </w:r>
    </w:p>
    <w:p w14:paraId="1A9272A9" w14:textId="77777777" w:rsidR="002D7CFB" w:rsidRDefault="001101C4">
      <w:pPr>
        <w:adjustRightInd w:val="0"/>
        <w:snapToGrid w:val="0"/>
        <w:spacing w:before="120" w:after="200" w:line="240" w:lineRule="auto"/>
        <w:rPr>
          <w:szCs w:val="20"/>
        </w:rPr>
      </w:pPr>
      <w:r>
        <w:rPr>
          <w:rFonts w:hAnsi="宋体" w:hint="eastAsia"/>
          <w:szCs w:val="20"/>
        </w:rPr>
        <w:t>In this scheme, NZP CSI-RS is still used for desired channel estimation. After performing ch</w:t>
      </w:r>
      <w:r>
        <w:rPr>
          <w:rFonts w:hAnsi="宋体" w:hint="eastAsia"/>
          <w:szCs w:val="20"/>
        </w:rPr>
        <w:t>annel estimation, interference can be measured by subtracting CSI-RS with estimated channel from Rx signal. NZP CSI-RS resources need to be included in IMR. However, UE</w:t>
      </w:r>
      <w:r>
        <w:rPr>
          <w:szCs w:val="20"/>
        </w:rPr>
        <w:t>’</w:t>
      </w:r>
      <w:r>
        <w:rPr>
          <w:rFonts w:hint="eastAsia"/>
          <w:szCs w:val="20"/>
        </w:rPr>
        <w:t>s behavior, e.g., subtracting CSI-RS with desired channel, is not necessary to be speci</w:t>
      </w:r>
      <w:r>
        <w:rPr>
          <w:rFonts w:hint="eastAsia"/>
          <w:szCs w:val="20"/>
        </w:rPr>
        <w:t xml:space="preserve">fied. Thus this scheme has very low spec impact. However, to enhance MU interference measurement, the potentially paired UEs should transmit CSI-RS in the same resource. If interference is significant in the received signal, the estimation for the desired </w:t>
      </w:r>
      <w:r>
        <w:rPr>
          <w:rFonts w:hint="eastAsia"/>
          <w:szCs w:val="20"/>
        </w:rPr>
        <w:t>channel performs badly. Then interference measurement is not accurate either.</w:t>
      </w:r>
    </w:p>
    <w:p w14:paraId="7F457B35" w14:textId="77777777" w:rsidR="002D7CFB" w:rsidRDefault="001101C4">
      <w:pPr>
        <w:adjustRightInd w:val="0"/>
        <w:snapToGrid w:val="0"/>
        <w:spacing w:before="120" w:after="200" w:line="240" w:lineRule="auto"/>
        <w:rPr>
          <w:rFonts w:hAnsi="宋体"/>
          <w:szCs w:val="20"/>
        </w:rPr>
      </w:pPr>
      <w:r>
        <w:rPr>
          <w:rFonts w:hAnsi="宋体" w:hint="eastAsia"/>
          <w:b/>
          <w:szCs w:val="20"/>
        </w:rPr>
        <w:t xml:space="preserve">Scheme 2: </w:t>
      </w:r>
      <w:r>
        <w:rPr>
          <w:rFonts w:hAnsi="宋体"/>
          <w:szCs w:val="20"/>
        </w:rPr>
        <w:t>Emulation on NZP CSI-RS which is represented by multiplied value of channel and precoding matrix</w:t>
      </w:r>
    </w:p>
    <w:p w14:paraId="27949AD7" w14:textId="77777777" w:rsidR="002D7CFB" w:rsidRDefault="001101C4">
      <w:pPr>
        <w:adjustRightInd w:val="0"/>
        <w:snapToGrid w:val="0"/>
        <w:spacing w:before="120" w:after="200" w:line="240" w:lineRule="auto"/>
        <w:rPr>
          <w:szCs w:val="20"/>
        </w:rPr>
      </w:pPr>
      <w:r>
        <w:rPr>
          <w:rFonts w:hAnsi="宋体" w:hint="eastAsia"/>
          <w:szCs w:val="20"/>
        </w:rPr>
        <w:lastRenderedPageBreak/>
        <w:t>In this scheme, UE is configured with multiple NZP resources associated</w:t>
      </w:r>
      <w:r>
        <w:rPr>
          <w:rFonts w:hAnsi="宋体" w:hint="eastAsia"/>
          <w:szCs w:val="20"/>
        </w:rPr>
        <w:t xml:space="preserve"> with multiple MU </w:t>
      </w:r>
      <w:r>
        <w:rPr>
          <w:rFonts w:hAnsi="宋体"/>
          <w:szCs w:val="20"/>
        </w:rPr>
        <w:t>hypotheses</w:t>
      </w:r>
      <w:r>
        <w:rPr>
          <w:rFonts w:hAnsi="宋体" w:hint="eastAsia"/>
          <w:szCs w:val="20"/>
        </w:rPr>
        <w:t xml:space="preserve"> by the network. To reduce CSI-RS overhead for multiple hypotheses, </w:t>
      </w:r>
      <w:r>
        <w:rPr>
          <w:rFonts w:hint="eastAsia"/>
          <w:szCs w:val="20"/>
        </w:rPr>
        <w:t xml:space="preserve">the paired UEs in each MU </w:t>
      </w:r>
      <w:r>
        <w:rPr>
          <w:szCs w:val="20"/>
        </w:rPr>
        <w:t>hypothes</w:t>
      </w:r>
      <w:r>
        <w:rPr>
          <w:rFonts w:hint="eastAsia"/>
          <w:szCs w:val="20"/>
        </w:rPr>
        <w:t>e</w:t>
      </w:r>
      <w:r>
        <w:rPr>
          <w:szCs w:val="20"/>
        </w:rPr>
        <w:t>s</w:t>
      </w:r>
      <w:r>
        <w:rPr>
          <w:rFonts w:hint="eastAsia"/>
          <w:szCs w:val="20"/>
        </w:rPr>
        <w:t xml:space="preserve"> share a configured NZP CSI-RS resource pool for interference </w:t>
      </w:r>
      <w:r>
        <w:rPr>
          <w:szCs w:val="20"/>
        </w:rPr>
        <w:t>measurement</w:t>
      </w:r>
      <w:r>
        <w:rPr>
          <w:rFonts w:hint="eastAsia"/>
          <w:szCs w:val="20"/>
        </w:rPr>
        <w:t>. gNB indicates the particular resource used for IM</w:t>
      </w:r>
      <w:r>
        <w:rPr>
          <w:rFonts w:hint="eastAsia"/>
          <w:szCs w:val="20"/>
        </w:rPr>
        <w:t xml:space="preserve"> upon triggering. Then gNB transmits the NZP CSI-RS for all the paired UEs in one shared resource. In addition, for the interference caused by the cells outside the </w:t>
      </w:r>
      <w:r>
        <w:rPr>
          <w:szCs w:val="20"/>
        </w:rPr>
        <w:t>coordinating</w:t>
      </w:r>
      <w:r>
        <w:rPr>
          <w:rFonts w:hint="eastAsia"/>
          <w:szCs w:val="20"/>
        </w:rPr>
        <w:t xml:space="preserve"> </w:t>
      </w:r>
      <w:r>
        <w:rPr>
          <w:szCs w:val="20"/>
        </w:rPr>
        <w:t>set</w:t>
      </w:r>
      <w:r>
        <w:rPr>
          <w:rFonts w:hint="eastAsia"/>
          <w:szCs w:val="20"/>
        </w:rPr>
        <w:t xml:space="preserve">, it can be measured by a single ZP CSI-RS resource configured for all the </w:t>
      </w:r>
      <w:r>
        <w:rPr>
          <w:rFonts w:hint="eastAsia"/>
          <w:szCs w:val="20"/>
        </w:rPr>
        <w:t>UEs</w:t>
      </w:r>
      <w:r>
        <w:rPr>
          <w:szCs w:val="20"/>
        </w:rPr>
        <w:t xml:space="preserve"> in the set</w:t>
      </w:r>
      <w:r>
        <w:rPr>
          <w:rFonts w:hint="eastAsia"/>
          <w:szCs w:val="20"/>
        </w:rPr>
        <w:t xml:space="preserve">. </w:t>
      </w:r>
    </w:p>
    <w:p w14:paraId="0B04E3E1" w14:textId="77777777" w:rsidR="002D7CFB" w:rsidRDefault="001101C4">
      <w:pPr>
        <w:adjustRightInd w:val="0"/>
        <w:snapToGrid w:val="0"/>
        <w:spacing w:before="120" w:after="200" w:line="240" w:lineRule="auto"/>
        <w:rPr>
          <w:szCs w:val="20"/>
        </w:rPr>
      </w:pPr>
      <w:r>
        <w:rPr>
          <w:rFonts w:hint="eastAsia"/>
          <w:szCs w:val="20"/>
        </w:rPr>
        <w:t>As NZP CSI-RS can also be used for channel measurement, the resource pool of IM also contains the NZP CSI-RS resource for channel measurement for better interference measurement and further resource sharing. gNB indicates the paired UEs wh</w:t>
      </w:r>
      <w:r>
        <w:rPr>
          <w:rFonts w:hint="eastAsia"/>
          <w:szCs w:val="20"/>
        </w:rPr>
        <w:t xml:space="preserve">ich resources in the resource pool are used for channel measurement or interference measurement. UE acquires the CSI for its desired channel based on the channel measurement resource, and then </w:t>
      </w:r>
      <w:r>
        <w:rPr>
          <w:szCs w:val="20"/>
        </w:rPr>
        <w:t>subtract</w:t>
      </w:r>
      <w:r>
        <w:rPr>
          <w:rFonts w:hint="eastAsia"/>
          <w:szCs w:val="20"/>
        </w:rPr>
        <w:t xml:space="preserve"> the CSI-RS power w.r.t. the desired channel in the </w:t>
      </w:r>
      <w:r>
        <w:rPr>
          <w:szCs w:val="20"/>
        </w:rPr>
        <w:t>int</w:t>
      </w:r>
      <w:r>
        <w:rPr>
          <w:szCs w:val="20"/>
        </w:rPr>
        <w:t>erference</w:t>
      </w:r>
      <w:r>
        <w:rPr>
          <w:rFonts w:hint="eastAsia"/>
          <w:szCs w:val="20"/>
        </w:rPr>
        <w:t xml:space="preserve"> measurement resource to obtain the interference power. </w:t>
      </w:r>
      <w:r>
        <w:rPr>
          <w:szCs w:val="20"/>
        </w:rPr>
        <w:t xml:space="preserve"> Explicit interference channel can be also estimated from NZP CSI-RS.  In addition, it is often required to obtain CSI with different channel and interference hypothesis for CoMP scenario. So</w:t>
      </w:r>
      <w:r>
        <w:rPr>
          <w:szCs w:val="20"/>
        </w:rPr>
        <w:t xml:space="preserve">metimes the role between channel and interference can be swapped e.g. in case of DPS/DPB.  In such case, overhead of IMR can be greatly reduced by sharing the NZP-CSI-RS pool for channel and interference measurement.   </w:t>
      </w:r>
      <w:r>
        <w:rPr>
          <w:rFonts w:hint="eastAsia"/>
          <w:szCs w:val="20"/>
        </w:rPr>
        <w:t xml:space="preserve">Hence, to increase the RS efficiency </w:t>
      </w:r>
      <w:r>
        <w:rPr>
          <w:rFonts w:hint="eastAsia"/>
          <w:szCs w:val="20"/>
        </w:rPr>
        <w:t xml:space="preserve">for channel and interference measurement, IM and channel measurement should share the same pool including both NZP and ZP CSI-RS resources. </w:t>
      </w:r>
    </w:p>
    <w:p w14:paraId="55A6E3F0" w14:textId="77777777" w:rsidR="002D7CFB" w:rsidRDefault="001101C4">
      <w:pPr>
        <w:adjustRightInd w:val="0"/>
        <w:snapToGrid w:val="0"/>
        <w:spacing w:before="120" w:after="200" w:line="240" w:lineRule="auto"/>
        <w:rPr>
          <w:i/>
          <w:szCs w:val="20"/>
        </w:rPr>
      </w:pPr>
      <w:r>
        <w:rPr>
          <w:rFonts w:hint="eastAsia"/>
          <w:b/>
          <w:i/>
          <w:szCs w:val="20"/>
        </w:rPr>
        <w:t xml:space="preserve">Proposal 1: </w:t>
      </w:r>
      <w:r>
        <w:rPr>
          <w:rFonts w:hint="eastAsia"/>
          <w:bCs/>
          <w:i/>
          <w:szCs w:val="20"/>
        </w:rPr>
        <w:t>F</w:t>
      </w:r>
      <w:r>
        <w:rPr>
          <w:rFonts w:hint="eastAsia"/>
          <w:i/>
          <w:szCs w:val="20"/>
        </w:rPr>
        <w:t>or NZP CSI-RS based IMR</w:t>
      </w:r>
      <w:r>
        <w:rPr>
          <w:rFonts w:hint="eastAsia"/>
          <w:i/>
          <w:szCs w:val="20"/>
        </w:rPr>
        <w:t xml:space="preserve">, </w:t>
      </w:r>
      <w:r>
        <w:rPr>
          <w:rFonts w:hint="eastAsia"/>
          <w:i/>
          <w:szCs w:val="20"/>
        </w:rPr>
        <w:t>NR support</w:t>
      </w:r>
      <w:r>
        <w:rPr>
          <w:rFonts w:hint="eastAsia"/>
          <w:i/>
          <w:szCs w:val="20"/>
        </w:rPr>
        <w:t>s</w:t>
      </w:r>
      <w:r>
        <w:rPr>
          <w:rFonts w:hint="eastAsia"/>
          <w:i/>
          <w:szCs w:val="20"/>
        </w:rPr>
        <w:t xml:space="preserve"> Scheme 2</w:t>
      </w:r>
      <w:r>
        <w:rPr>
          <w:rFonts w:hint="eastAsia"/>
          <w:i/>
          <w:szCs w:val="20"/>
        </w:rPr>
        <w:t xml:space="preserve">: </w:t>
      </w:r>
      <w:r>
        <w:rPr>
          <w:rFonts w:hAnsi="宋体"/>
          <w:i/>
          <w:iCs/>
          <w:szCs w:val="20"/>
        </w:rPr>
        <w:t>Emulation on NZP CSI-RS which is represented by multipl</w:t>
      </w:r>
      <w:r>
        <w:rPr>
          <w:rFonts w:hAnsi="宋体"/>
          <w:i/>
          <w:iCs/>
          <w:szCs w:val="20"/>
        </w:rPr>
        <w:t>ied value of channel and precoding matrix</w:t>
      </w:r>
      <w:r>
        <w:rPr>
          <w:rFonts w:hint="eastAsia"/>
          <w:i/>
          <w:szCs w:val="20"/>
        </w:rPr>
        <w:t>.</w:t>
      </w:r>
    </w:p>
    <w:p w14:paraId="7E8346AD" w14:textId="77777777" w:rsidR="002D7CFB" w:rsidRDefault="001101C4">
      <w:pPr>
        <w:adjustRightInd w:val="0"/>
        <w:snapToGrid w:val="0"/>
        <w:spacing w:before="120" w:after="200" w:line="240" w:lineRule="auto"/>
        <w:rPr>
          <w:i/>
          <w:szCs w:val="20"/>
        </w:rPr>
      </w:pPr>
      <w:r>
        <w:rPr>
          <w:rFonts w:hint="eastAsia"/>
          <w:b/>
          <w:i/>
          <w:szCs w:val="20"/>
        </w:rPr>
        <w:t>Proposal 2:</w:t>
      </w:r>
      <w:r>
        <w:rPr>
          <w:rFonts w:hint="eastAsia"/>
          <w:i/>
          <w:szCs w:val="20"/>
        </w:rPr>
        <w:t xml:space="preserve"> NR support</w:t>
      </w:r>
      <w:r>
        <w:rPr>
          <w:rFonts w:hint="eastAsia"/>
          <w:i/>
          <w:szCs w:val="20"/>
        </w:rPr>
        <w:t>s</w:t>
      </w:r>
      <w:r>
        <w:rPr>
          <w:rFonts w:hint="eastAsia"/>
          <w:i/>
          <w:szCs w:val="20"/>
        </w:rPr>
        <w:t xml:space="preserve"> aperiodic </w:t>
      </w:r>
      <w:r>
        <w:rPr>
          <w:rFonts w:hint="eastAsia"/>
          <w:i/>
          <w:szCs w:val="20"/>
        </w:rPr>
        <w:t>IMR</w:t>
      </w:r>
      <w:r>
        <w:rPr>
          <w:rFonts w:hint="eastAsia"/>
          <w:i/>
          <w:szCs w:val="20"/>
        </w:rPr>
        <w:t xml:space="preserve"> based on shar</w:t>
      </w:r>
      <w:r>
        <w:rPr>
          <w:rFonts w:hint="eastAsia"/>
          <w:i/>
          <w:szCs w:val="20"/>
        </w:rPr>
        <w:t>ed resource setting configuration for</w:t>
      </w:r>
      <w:r>
        <w:rPr>
          <w:rFonts w:hint="eastAsia"/>
          <w:i/>
          <w:szCs w:val="20"/>
        </w:rPr>
        <w:t xml:space="preserve"> NZP and ZP CSI-RS</w:t>
      </w:r>
      <w:r>
        <w:rPr>
          <w:rFonts w:hint="eastAsia"/>
          <w:i/>
          <w:szCs w:val="20"/>
        </w:rPr>
        <w:t xml:space="preserve"> resources</w:t>
      </w:r>
      <w:r>
        <w:rPr>
          <w:rFonts w:hint="eastAsia"/>
          <w:i/>
          <w:szCs w:val="20"/>
        </w:rPr>
        <w:t>.</w:t>
      </w:r>
    </w:p>
    <w:p w14:paraId="0D3B488C" w14:textId="77777777" w:rsidR="002D7CFB" w:rsidRDefault="001101C4">
      <w:pPr>
        <w:overflowPunct w:val="0"/>
        <w:autoSpaceDE w:val="0"/>
        <w:autoSpaceDN w:val="0"/>
        <w:adjustRightInd w:val="0"/>
        <w:snapToGrid w:val="0"/>
        <w:spacing w:before="120" w:after="200" w:line="240" w:lineRule="auto"/>
        <w:textAlignment w:val="baseline"/>
        <w:rPr>
          <w:szCs w:val="20"/>
          <w:lang w:val="en-GB"/>
        </w:rPr>
      </w:pPr>
      <w:r>
        <w:rPr>
          <w:szCs w:val="20"/>
          <w:lang w:val="en-GB"/>
        </w:rPr>
        <w:t>D</w:t>
      </w:r>
      <w:r>
        <w:rPr>
          <w:rFonts w:hint="eastAsia"/>
          <w:szCs w:val="20"/>
          <w:lang w:val="en-GB"/>
        </w:rPr>
        <w:t xml:space="preserve">ifferent Rx beam may lead to different levels of interference. Since the RS resources for </w:t>
      </w:r>
      <w:r>
        <w:rPr>
          <w:szCs w:val="20"/>
          <w:lang w:val="en-GB"/>
        </w:rPr>
        <w:t>interference</w:t>
      </w:r>
      <w:r>
        <w:rPr>
          <w:rFonts w:hint="eastAsia"/>
          <w:szCs w:val="20"/>
          <w:lang w:val="en-GB"/>
        </w:rPr>
        <w:t xml:space="preserve"> measurement and for channel </w:t>
      </w:r>
      <w:r>
        <w:rPr>
          <w:szCs w:val="20"/>
          <w:lang w:val="en-GB"/>
        </w:rPr>
        <w:t>measurement</w:t>
      </w:r>
      <w:r>
        <w:rPr>
          <w:rFonts w:hint="eastAsia"/>
          <w:szCs w:val="20"/>
          <w:lang w:val="en-GB"/>
        </w:rPr>
        <w:t xml:space="preserve"> may be separate, e.g. NZP-CSI-RS and IMR, gNB may need to know or control the receive beam which is used for interference </w:t>
      </w:r>
      <w:r>
        <w:rPr>
          <w:szCs w:val="20"/>
          <w:lang w:val="en-GB"/>
        </w:rPr>
        <w:t>measurement</w:t>
      </w:r>
      <w:r>
        <w:rPr>
          <w:rFonts w:hint="eastAsia"/>
          <w:szCs w:val="20"/>
          <w:lang w:val="en-GB"/>
        </w:rPr>
        <w:t xml:space="preserve">. Or else, if receive beams used for interference measurement and for </w:t>
      </w:r>
      <w:r>
        <w:rPr>
          <w:szCs w:val="20"/>
          <w:lang w:val="en-GB"/>
        </w:rPr>
        <w:t xml:space="preserve">channel </w:t>
      </w:r>
      <w:r>
        <w:rPr>
          <w:rFonts w:hint="eastAsia"/>
          <w:szCs w:val="20"/>
          <w:lang w:val="en-GB"/>
        </w:rPr>
        <w:t>are not known in gNB, there may be an unexpected mismatch of interference experienced during the transmission and the interference measured in CSI</w:t>
      </w:r>
      <w:r>
        <w:rPr>
          <w:szCs w:val="20"/>
          <w:lang w:val="en-GB"/>
        </w:rPr>
        <w:t xml:space="preserve"> which leads to poor link adaptation</w:t>
      </w:r>
      <w:r>
        <w:rPr>
          <w:rFonts w:hint="eastAsia"/>
          <w:szCs w:val="20"/>
          <w:lang w:val="en-GB"/>
        </w:rPr>
        <w:t xml:space="preserve">. </w:t>
      </w:r>
    </w:p>
    <w:p w14:paraId="365AD357" w14:textId="77777777" w:rsidR="002D7CFB" w:rsidRDefault="001101C4">
      <w:pPr>
        <w:adjustRightInd w:val="0"/>
        <w:snapToGrid w:val="0"/>
        <w:spacing w:before="120" w:after="200" w:line="240" w:lineRule="auto"/>
        <w:rPr>
          <w:i/>
          <w:szCs w:val="20"/>
          <w:lang w:val="en-GB"/>
        </w:rPr>
      </w:pPr>
      <w:r>
        <w:rPr>
          <w:rFonts w:hint="eastAsia"/>
          <w:b/>
          <w:i/>
          <w:szCs w:val="20"/>
          <w:lang w:val="en-GB"/>
        </w:rPr>
        <w:t>Proposal 3:</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be</w:t>
      </w:r>
      <w:r>
        <w:rPr>
          <w:rFonts w:hint="eastAsia"/>
          <w:i/>
          <w:szCs w:val="20"/>
          <w:lang w:val="en-GB"/>
        </w:rPr>
        <w:t>am</w:t>
      </w:r>
      <w:r>
        <w:rPr>
          <w:i/>
          <w:szCs w:val="20"/>
          <w:lang w:val="en-GB"/>
        </w:rPr>
        <w:t xml:space="preserve"> used </w:t>
      </w:r>
      <w:r>
        <w:rPr>
          <w:rFonts w:hint="eastAsia"/>
          <w:i/>
          <w:szCs w:val="20"/>
          <w:lang w:val="en-GB"/>
        </w:rPr>
        <w:t xml:space="preserve">for interference </w:t>
      </w:r>
      <w:r>
        <w:rPr>
          <w:i/>
          <w:szCs w:val="20"/>
          <w:lang w:val="en-GB"/>
        </w:rPr>
        <w:t>measurement is supported.</w:t>
      </w:r>
    </w:p>
    <w:p w14:paraId="556A7816" w14:textId="77777777" w:rsidR="002D7CFB" w:rsidRDefault="001101C4">
      <w:pPr>
        <w:adjustRightInd w:val="0"/>
        <w:snapToGrid w:val="0"/>
        <w:spacing w:before="120" w:after="200" w:line="240" w:lineRule="auto"/>
        <w:rPr>
          <w:rFonts w:eastAsiaTheme="minorEastAsia"/>
        </w:rPr>
      </w:pPr>
      <w:r>
        <w:rPr>
          <w:rFonts w:hint="eastAsia"/>
          <w:iCs/>
          <w:szCs w:val="20"/>
        </w:rPr>
        <w:t>Another potential approach is to use DMRS based IM. As DMRS reflects the real precoding used for data transmission, DMRS based IM would bring good precoding adjustment considering real interference. To facilitate DMRS based IM, one solution is sharing CSI-</w:t>
      </w:r>
      <w:r>
        <w:rPr>
          <w:rFonts w:hint="eastAsia"/>
          <w:iCs/>
          <w:szCs w:val="20"/>
        </w:rPr>
        <w:t xml:space="preserve">RS pattern with DMRS. </w:t>
      </w:r>
      <w:r>
        <w:rPr>
          <w:rFonts w:eastAsiaTheme="minorEastAsia" w:hint="eastAsia"/>
        </w:rPr>
        <w:t>If CSI-RS is also transmitted in DMRS patterns, MU interference with real data precoding can be estimated by UE. This measured interference reflects real interference in MU. As NZP and ZP CSI-RS are both agreed to be used for interfer</w:t>
      </w:r>
      <w:r>
        <w:rPr>
          <w:rFonts w:eastAsiaTheme="minorEastAsia" w:hint="eastAsia"/>
        </w:rPr>
        <w:t xml:space="preserve">ence measurement, both of them can be sent in DMRS patterns. </w:t>
      </w:r>
    </w:p>
    <w:p w14:paraId="708DC8C5" w14:textId="77777777" w:rsidR="002D7CFB" w:rsidRDefault="001101C4">
      <w:pPr>
        <w:adjustRightInd w:val="0"/>
        <w:snapToGrid w:val="0"/>
        <w:spacing w:before="120" w:after="200" w:line="240" w:lineRule="auto"/>
        <w:rPr>
          <w:rFonts w:eastAsiaTheme="minorEastAsia"/>
        </w:rPr>
      </w:pPr>
      <w:r>
        <w:rPr>
          <w:rFonts w:eastAsiaTheme="minorEastAsia" w:hint="eastAsia"/>
        </w:rPr>
        <w:t>Other than interference measurement, sharing CSI-RS pattern with DMRS is also helpful to channel measurement. If DMRS is sent in CSI-RS patterns, sub-time unit pattern, e.g., IFDMA, larger SCS o</w:t>
      </w:r>
      <w:r>
        <w:rPr>
          <w:rFonts w:eastAsiaTheme="minorEastAsia" w:hint="eastAsia"/>
        </w:rPr>
        <w:t xml:space="preserve">r DFT-based, can be used on DMRS for fast Tx/Rx beam adjustment. </w:t>
      </w:r>
    </w:p>
    <w:p w14:paraId="0A5C132C" w14:textId="77777777" w:rsidR="002D7CFB" w:rsidRDefault="001101C4">
      <w:pPr>
        <w:adjustRightInd w:val="0"/>
        <w:snapToGrid w:val="0"/>
        <w:spacing w:before="120" w:after="200" w:line="240" w:lineRule="auto"/>
        <w:rPr>
          <w:rFonts w:eastAsiaTheme="minorEastAsia"/>
        </w:rPr>
      </w:pPr>
      <w:r>
        <w:rPr>
          <w:rFonts w:eastAsiaTheme="minorEastAsia" w:hint="eastAsia"/>
        </w:rPr>
        <w:t>In the above cases, if DMRS and CSI-RS are transmitted in the same RE patterns, same transmit power can be assumed for them. Then UE can perform channel/interference measurement as sequences</w:t>
      </w:r>
      <w:r>
        <w:rPr>
          <w:rFonts w:eastAsiaTheme="minorEastAsia" w:hint="eastAsia"/>
        </w:rPr>
        <w:t xml:space="preserve"> of both RSs are known.</w:t>
      </w:r>
    </w:p>
    <w:p w14:paraId="09583E27" w14:textId="77777777" w:rsidR="002D7CFB" w:rsidRDefault="001101C4">
      <w:pPr>
        <w:adjustRightInd w:val="0"/>
        <w:snapToGrid w:val="0"/>
        <w:spacing w:before="120" w:after="200" w:line="240" w:lineRule="auto"/>
        <w:rPr>
          <w:rFonts w:eastAsiaTheme="minorEastAsia"/>
        </w:rPr>
      </w:pPr>
      <w:r>
        <w:rPr>
          <w:rFonts w:eastAsiaTheme="minorEastAsia"/>
          <w:b/>
          <w:bCs/>
          <w:i/>
          <w:iCs/>
        </w:rPr>
        <w:t>Proposal</w:t>
      </w:r>
      <w:r>
        <w:rPr>
          <w:rFonts w:eastAsiaTheme="minorEastAsia" w:hint="eastAsia"/>
          <w:b/>
          <w:bCs/>
          <w:i/>
          <w:iCs/>
        </w:rPr>
        <w:t xml:space="preserve"> 4</w:t>
      </w:r>
      <w:r>
        <w:rPr>
          <w:rFonts w:eastAsiaTheme="minorEastAsia"/>
          <w:b/>
          <w:bCs/>
          <w:i/>
          <w:iCs/>
        </w:rPr>
        <w:t>:</w:t>
      </w:r>
      <w:r>
        <w:rPr>
          <w:rFonts w:eastAsiaTheme="minorEastAsia"/>
          <w:i/>
          <w:iCs/>
        </w:rPr>
        <w:t xml:space="preserve"> </w:t>
      </w:r>
      <w:r>
        <w:rPr>
          <w:rFonts w:eastAsiaTheme="minorEastAsia" w:hint="eastAsia"/>
          <w:i/>
          <w:iCs/>
        </w:rPr>
        <w:t>For NR channel and interference measurement</w:t>
      </w:r>
      <w:r>
        <w:rPr>
          <w:rFonts w:eastAsiaTheme="minorEastAsia"/>
          <w:i/>
          <w:iCs/>
        </w:rPr>
        <w:t>,</w:t>
      </w:r>
      <w:r>
        <w:rPr>
          <w:rFonts w:eastAsiaTheme="minorEastAsia" w:hint="eastAsia"/>
        </w:rPr>
        <w:t xml:space="preserve"> </w:t>
      </w:r>
      <w:r>
        <w:rPr>
          <w:rFonts w:eastAsiaTheme="minorEastAsia"/>
          <w:i/>
          <w:iCs/>
        </w:rPr>
        <w:t>CSI-RS and DMRS can be transmitted in shared RE pattern.</w:t>
      </w:r>
    </w:p>
    <w:p w14:paraId="1955165E" w14:textId="77777777" w:rsidR="002D7CFB" w:rsidRDefault="001101C4">
      <w:pPr>
        <w:spacing w:before="120" w:after="200"/>
        <w:rPr>
          <w:rFonts w:hAnsi="宋体"/>
          <w:b/>
          <w:sz w:val="22"/>
          <w:szCs w:val="20"/>
        </w:rPr>
      </w:pPr>
      <w:r>
        <w:rPr>
          <w:rFonts w:hAnsi="宋体" w:hint="eastAsia"/>
          <w:b/>
          <w:sz w:val="22"/>
          <w:szCs w:val="20"/>
        </w:rPr>
        <w:t>2.2 Channel measurement</w:t>
      </w:r>
    </w:p>
    <w:p w14:paraId="7047D077" w14:textId="77777777" w:rsidR="002D7CFB" w:rsidRDefault="001101C4">
      <w:pPr>
        <w:adjustRightInd w:val="0"/>
        <w:snapToGrid w:val="0"/>
        <w:spacing w:before="120" w:after="200" w:line="240" w:lineRule="auto"/>
        <w:rPr>
          <w:szCs w:val="20"/>
        </w:rPr>
      </w:pPr>
      <w:r>
        <w:rPr>
          <w:rFonts w:hint="eastAsia"/>
          <w:szCs w:val="20"/>
        </w:rPr>
        <w:t>In LTE, several schemes have been specified for channel measurement and CSI report such as cod</w:t>
      </w:r>
      <w:r>
        <w:rPr>
          <w:rFonts w:hint="eastAsia"/>
          <w:szCs w:val="20"/>
        </w:rPr>
        <w:t>ebook based PMI feedback, CRI based beam information feedback and so on. In NR, some of these schemes need to be enhanced or refined in order to solve their own issues or meet the new design target. In this subsection, enhancements of two potential measure</w:t>
      </w:r>
      <w:r>
        <w:rPr>
          <w:rFonts w:hint="eastAsia"/>
          <w:szCs w:val="20"/>
        </w:rPr>
        <w:t>ment schemes are discussed.</w:t>
      </w:r>
    </w:p>
    <w:p w14:paraId="0E15478A" w14:textId="77777777" w:rsidR="002D7CFB" w:rsidRDefault="001101C4">
      <w:pPr>
        <w:spacing w:before="120" w:after="200"/>
        <w:rPr>
          <w:rFonts w:hAnsi="宋体"/>
          <w:b/>
          <w:sz w:val="22"/>
          <w:szCs w:val="20"/>
          <w:u w:val="single"/>
        </w:rPr>
      </w:pPr>
      <w:r>
        <w:rPr>
          <w:rFonts w:hAnsi="宋体" w:hint="eastAsia"/>
          <w:b/>
          <w:sz w:val="22"/>
          <w:szCs w:val="20"/>
          <w:u w:val="single"/>
        </w:rPr>
        <w:lastRenderedPageBreak/>
        <w:t>CSR based PMI feedback</w:t>
      </w:r>
    </w:p>
    <w:p w14:paraId="61663898" w14:textId="77777777" w:rsidR="002D7CFB" w:rsidRDefault="001101C4">
      <w:pPr>
        <w:adjustRightInd w:val="0"/>
        <w:snapToGrid w:val="0"/>
        <w:spacing w:before="120" w:after="200" w:line="240" w:lineRule="auto"/>
        <w:rPr>
          <w:rFonts w:hAnsi="宋体"/>
          <w:szCs w:val="20"/>
        </w:rPr>
      </w:pPr>
      <w:r>
        <w:rPr>
          <w:rFonts w:hAnsi="宋体" w:hint="eastAsia"/>
          <w:szCs w:val="20"/>
        </w:rPr>
        <w:t xml:space="preserve">In LTE, codebook based CSI measurement and feedback is built with a set of configured parameters, e.g., codebook dimensions, oversampling factors, codebook config and so on. Except codebook dimensions, other </w:t>
      </w:r>
      <w:r>
        <w:rPr>
          <w:rFonts w:hAnsi="宋体"/>
          <w:szCs w:val="20"/>
        </w:rPr>
        <w:t>parameters</w:t>
      </w:r>
      <w:r>
        <w:rPr>
          <w:rFonts w:hAnsi="宋体" w:hint="eastAsia"/>
          <w:szCs w:val="20"/>
        </w:rPr>
        <w:t xml:space="preserve"> describes how W1 beam group is </w:t>
      </w:r>
      <w:r>
        <w:rPr>
          <w:rFonts w:hAnsi="宋体"/>
          <w:szCs w:val="20"/>
        </w:rPr>
        <w:t>constr</w:t>
      </w:r>
      <w:r>
        <w:rPr>
          <w:rFonts w:hAnsi="宋体"/>
          <w:szCs w:val="20"/>
        </w:rPr>
        <w:t>ucted</w:t>
      </w:r>
      <w:r>
        <w:rPr>
          <w:rFonts w:hAnsi="宋体" w:hint="eastAsia"/>
          <w:szCs w:val="20"/>
        </w:rPr>
        <w:t xml:space="preserve"> from the grid of beams. Moreover, the constructed beam group can only be </w:t>
      </w:r>
      <w:r>
        <w:rPr>
          <w:rFonts w:hAnsi="宋体"/>
          <w:szCs w:val="20"/>
        </w:rPr>
        <w:t>uniformly</w:t>
      </w:r>
      <w:r>
        <w:rPr>
          <w:rFonts w:hAnsi="宋体" w:hint="eastAsia"/>
          <w:szCs w:val="20"/>
        </w:rPr>
        <w:t xml:space="preserve"> </w:t>
      </w:r>
      <w:r>
        <w:rPr>
          <w:rFonts w:hAnsi="宋体"/>
          <w:szCs w:val="20"/>
        </w:rPr>
        <w:t>distributed</w:t>
      </w:r>
      <w:r>
        <w:rPr>
          <w:rFonts w:hAnsi="宋体" w:hint="eastAsia"/>
          <w:szCs w:val="20"/>
        </w:rPr>
        <w:t xml:space="preserve"> in the </w:t>
      </w:r>
      <w:r>
        <w:rPr>
          <w:rFonts w:hAnsi="宋体"/>
          <w:szCs w:val="20"/>
        </w:rPr>
        <w:t>sp</w:t>
      </w:r>
      <w:r>
        <w:rPr>
          <w:rFonts w:hAnsi="宋体" w:hint="eastAsia"/>
          <w:szCs w:val="20"/>
        </w:rPr>
        <w:t>at</w:t>
      </w:r>
      <w:r>
        <w:rPr>
          <w:rFonts w:hAnsi="宋体"/>
          <w:szCs w:val="20"/>
        </w:rPr>
        <w:t>ial</w:t>
      </w:r>
      <w:r>
        <w:rPr>
          <w:rFonts w:hAnsi="宋体" w:hint="eastAsia"/>
          <w:szCs w:val="20"/>
        </w:rPr>
        <w:t xml:space="preserve"> domain. As a matter of fact, this function can be implemented with one parameter, codebook subset restriction (CSR). Moreover, as Type I fee</w:t>
      </w:r>
      <w:r>
        <w:rPr>
          <w:rFonts w:hAnsi="宋体" w:hint="eastAsia"/>
          <w:szCs w:val="20"/>
        </w:rPr>
        <w:t>dback is more suitable for non-rich scattering scenarios, only a few clusters exist in the wireless channel. Then only a small angular range of the entire space needs to be oversampled with large factor. Based on a baseline grid of beams, CSR can be used t</w:t>
      </w:r>
      <w:r>
        <w:rPr>
          <w:rFonts w:hAnsi="宋体" w:hint="eastAsia"/>
          <w:szCs w:val="20"/>
        </w:rPr>
        <w:t xml:space="preserve">o indicate which angular range can be oversampled with larger factor, and which angular range can be quantized with more coarse beams. Hence configuration based on CSR can achieve similar performance as the current parameterized codebook in LTE with lower </w:t>
      </w:r>
      <w:r>
        <w:rPr>
          <w:rFonts w:hAnsi="宋体" w:hint="eastAsia"/>
          <w:szCs w:val="20"/>
        </w:rPr>
        <w:t xml:space="preserve">overhead. Additionally, with CSR, flexible codebook configuration can be more forward compatible. </w:t>
      </w:r>
    </w:p>
    <w:p w14:paraId="299619A7" w14:textId="77777777" w:rsidR="002D7CFB" w:rsidRDefault="001101C4">
      <w:pPr>
        <w:adjustRightInd w:val="0"/>
        <w:snapToGrid w:val="0"/>
        <w:spacing w:before="120" w:after="200" w:line="240" w:lineRule="auto"/>
        <w:rPr>
          <w:rFonts w:hAnsi="宋体"/>
          <w:szCs w:val="20"/>
        </w:rPr>
      </w:pPr>
      <w:r>
        <w:rPr>
          <w:rFonts w:hAnsi="宋体" w:hint="eastAsia"/>
          <w:szCs w:val="20"/>
        </w:rPr>
        <w:t xml:space="preserve">Based on the above discussion, CSR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CSR are important m</w:t>
      </w:r>
      <w:r>
        <w:rPr>
          <w:rFonts w:hAnsi="宋体" w:hint="eastAsia"/>
          <w:szCs w:val="20"/>
        </w:rPr>
        <w:t>etrics in the design of CSI settings. Fig.3 gives a good example of CSR indication with a multi-layer structure. In our companion contribution [4], we give a more specific description on the design of CSR.</w:t>
      </w:r>
    </w:p>
    <w:p w14:paraId="7E62EDDC" w14:textId="77777777" w:rsidR="002D7CFB" w:rsidRDefault="001101C4">
      <w:pPr>
        <w:spacing w:before="120" w:after="200"/>
        <w:jc w:val="center"/>
        <w:rPr>
          <w:rFonts w:hAnsi="宋体"/>
          <w:szCs w:val="20"/>
        </w:rPr>
      </w:pPr>
      <w:r>
        <w:object w:dxaOrig="8266" w:dyaOrig="2132" w14:anchorId="1BD5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07pt" o:ole="">
            <v:imagedata r:id="rId7" o:title=""/>
          </v:shape>
          <o:OLEObject Type="Embed" ProgID="Visio.Drawing.11" ShapeID="_x0000_i1025" DrawAspect="Content" ObjectID="_1564045008" r:id="rId8"/>
        </w:object>
      </w:r>
    </w:p>
    <w:p w14:paraId="344C1B17" w14:textId="77777777" w:rsidR="002D7CFB" w:rsidRDefault="001101C4">
      <w:pPr>
        <w:spacing w:before="120" w:after="200"/>
        <w:jc w:val="center"/>
        <w:rPr>
          <w:rFonts w:hAnsi="宋体"/>
          <w:szCs w:val="20"/>
        </w:rPr>
      </w:pPr>
      <w:r>
        <w:rPr>
          <w:rFonts w:hAnsi="宋体" w:hint="eastAsia"/>
          <w:szCs w:val="20"/>
        </w:rPr>
        <w:t>Fig. 3 Flexible CSR c</w:t>
      </w:r>
      <w:r>
        <w:rPr>
          <w:rFonts w:hAnsi="宋体" w:hint="eastAsia"/>
          <w:szCs w:val="20"/>
        </w:rPr>
        <w:t>onfiguration</w:t>
      </w:r>
    </w:p>
    <w:p w14:paraId="66B81918" w14:textId="77777777" w:rsidR="002D7CFB" w:rsidRDefault="001101C4">
      <w:pPr>
        <w:adjustRightInd w:val="0"/>
        <w:snapToGrid w:val="0"/>
        <w:spacing w:before="120" w:after="200" w:line="240" w:lineRule="auto"/>
        <w:rPr>
          <w:rFonts w:hAnsi="宋体"/>
          <w:i/>
          <w:szCs w:val="20"/>
        </w:rPr>
      </w:pPr>
      <w:r>
        <w:rPr>
          <w:rFonts w:hAnsi="宋体" w:hint="eastAsia"/>
          <w:b/>
          <w:i/>
          <w:szCs w:val="20"/>
        </w:rPr>
        <w:t>Proposal 5:</w:t>
      </w:r>
      <w:r>
        <w:rPr>
          <w:rFonts w:hAnsi="宋体" w:hint="eastAsia"/>
          <w:i/>
          <w:szCs w:val="20"/>
        </w:rPr>
        <w:t xml:space="preserve"> </w:t>
      </w:r>
      <w:r>
        <w:rPr>
          <w:rFonts w:hAnsi="宋体" w:hint="eastAsia"/>
          <w:i/>
          <w:szCs w:val="20"/>
        </w:rPr>
        <w:t>Dynamic CSR indication</w:t>
      </w:r>
      <w:r>
        <w:rPr>
          <w:rFonts w:hAnsi="宋体"/>
          <w:i/>
          <w:szCs w:val="20"/>
        </w:rPr>
        <w:t xml:space="preserve"> </w:t>
      </w:r>
      <w:r>
        <w:rPr>
          <w:rFonts w:hAnsi="宋体" w:hint="eastAsia"/>
          <w:i/>
          <w:szCs w:val="20"/>
        </w:rPr>
        <w:t xml:space="preserve">based CSI feedback </w:t>
      </w:r>
      <w:r>
        <w:rPr>
          <w:rFonts w:hAnsi="宋体" w:hint="eastAsia"/>
          <w:i/>
          <w:szCs w:val="20"/>
        </w:rPr>
        <w:t>is</w:t>
      </w:r>
      <w:r>
        <w:rPr>
          <w:rFonts w:hAnsi="宋体" w:hint="eastAsia"/>
          <w:i/>
          <w:szCs w:val="20"/>
        </w:rPr>
        <w:t xml:space="preserve"> supported for NR CSI measurement and report</w:t>
      </w:r>
      <w:r>
        <w:rPr>
          <w:rFonts w:hAnsi="宋体" w:hint="eastAsia"/>
          <w:i/>
          <w:szCs w:val="20"/>
        </w:rPr>
        <w:t>.</w:t>
      </w:r>
    </w:p>
    <w:p w14:paraId="3FA7A275" w14:textId="77777777" w:rsidR="002D7CFB" w:rsidRDefault="001101C4">
      <w:pPr>
        <w:spacing w:before="120" w:line="240" w:lineRule="auto"/>
        <w:rPr>
          <w:rFonts w:hAnsi="宋体"/>
          <w:b/>
          <w:szCs w:val="20"/>
          <w:u w:val="single"/>
        </w:rPr>
      </w:pPr>
      <w:r>
        <w:rPr>
          <w:rFonts w:hAnsi="宋体" w:hint="eastAsia"/>
          <w:b/>
          <w:szCs w:val="20"/>
          <w:u w:val="single"/>
        </w:rPr>
        <w:t>Beam information feedback based on port/resource measurement restriction</w:t>
      </w:r>
    </w:p>
    <w:p w14:paraId="1D103C32" w14:textId="77777777" w:rsidR="002D7CFB" w:rsidRDefault="001101C4">
      <w:pPr>
        <w:adjustRightInd w:val="0"/>
        <w:snapToGrid w:val="0"/>
        <w:spacing w:before="120" w:after="200" w:line="240" w:lineRule="auto"/>
        <w:rPr>
          <w:rFonts w:hAnsi="宋体"/>
          <w:szCs w:val="20"/>
        </w:rPr>
      </w:pPr>
      <w:r>
        <w:rPr>
          <w:rFonts w:hAnsi="宋体" w:hint="eastAsia"/>
          <w:szCs w:val="20"/>
        </w:rPr>
        <w:t xml:space="preserve">In CSI report involving BFed CSI-RS, such as Class B feedback and </w:t>
      </w:r>
      <w:r>
        <w:rPr>
          <w:rFonts w:hAnsi="宋体" w:hint="eastAsia"/>
          <w:szCs w:val="20"/>
        </w:rPr>
        <w:t>hybrid CSI feedback, port-level or resource-level beam information measurement is required. The most straightforward way to select beams is based on UE measurement on all the CSI-RS resources or ports. Specifically, gNB transmits BFed CSI-RS in one or more</w:t>
      </w:r>
      <w:r>
        <w:rPr>
          <w:rFonts w:hAnsi="宋体" w:hint="eastAsia"/>
          <w:szCs w:val="20"/>
        </w:rPr>
        <w:t xml:space="preserve"> CSI-RS resources. Subsequently, UE measures channel quality of the configured resources and feedback the selected beams based on CRI or Class B codebook. However, the following issues can be identified if only this direct measurement and report approach i</w:t>
      </w:r>
      <w:r>
        <w:rPr>
          <w:rFonts w:hAnsi="宋体" w:hint="eastAsia"/>
          <w:szCs w:val="20"/>
        </w:rPr>
        <w:t>s supported.</w:t>
      </w:r>
    </w:p>
    <w:p w14:paraId="12E20DE7" w14:textId="77777777" w:rsidR="002D7CFB" w:rsidRDefault="001101C4">
      <w:pPr>
        <w:pStyle w:val="10"/>
        <w:numPr>
          <w:ilvl w:val="0"/>
          <w:numId w:val="9"/>
        </w:numPr>
        <w:adjustRightInd w:val="0"/>
        <w:snapToGrid w:val="0"/>
        <w:spacing w:before="120" w:after="200"/>
        <w:ind w:firstLineChars="0"/>
        <w:rPr>
          <w:rFonts w:hAnsi="宋体"/>
          <w:sz w:val="20"/>
          <w:szCs w:val="20"/>
        </w:rPr>
      </w:pPr>
      <w:r>
        <w:rPr>
          <w:rFonts w:hAnsi="宋体" w:hint="eastAsia"/>
          <w:sz w:val="20"/>
          <w:szCs w:val="20"/>
        </w:rPr>
        <w:t>Unfavorable for further CSI acquisition: In the hybrid CSI framework with Class B K&gt;1 and Class B K=1, beam selection results in 1</w:t>
      </w:r>
      <w:r>
        <w:rPr>
          <w:rFonts w:hAnsi="宋体" w:hint="eastAsia"/>
          <w:sz w:val="20"/>
          <w:szCs w:val="20"/>
          <w:vertAlign w:val="superscript"/>
        </w:rPr>
        <w:t>st</w:t>
      </w:r>
      <w:r>
        <w:rPr>
          <w:rFonts w:hAnsi="宋体" w:hint="eastAsia"/>
          <w:sz w:val="20"/>
          <w:szCs w:val="20"/>
        </w:rPr>
        <w:t xml:space="preserve"> level have a significant impact on the CSI acquired in the 2</w:t>
      </w:r>
      <w:r>
        <w:rPr>
          <w:rFonts w:hAnsi="宋体" w:hint="eastAsia"/>
          <w:sz w:val="20"/>
          <w:szCs w:val="20"/>
          <w:vertAlign w:val="superscript"/>
        </w:rPr>
        <w:t>rd</w:t>
      </w:r>
      <w:r>
        <w:rPr>
          <w:rFonts w:hAnsi="宋体" w:hint="eastAsia"/>
          <w:sz w:val="20"/>
          <w:szCs w:val="20"/>
        </w:rPr>
        <w:t xml:space="preserve"> level since the gNB configures the precoding an</w:t>
      </w:r>
      <w:r>
        <w:rPr>
          <w:rFonts w:hAnsi="宋体" w:hint="eastAsia"/>
          <w:sz w:val="20"/>
          <w:szCs w:val="20"/>
        </w:rPr>
        <w:t>d RS resource for the 2</w:t>
      </w:r>
      <w:r>
        <w:rPr>
          <w:rFonts w:hAnsi="宋体" w:hint="eastAsia"/>
          <w:sz w:val="20"/>
          <w:szCs w:val="20"/>
          <w:vertAlign w:val="superscript"/>
        </w:rPr>
        <w:t>rd</w:t>
      </w:r>
      <w:r>
        <w:rPr>
          <w:rFonts w:hAnsi="宋体" w:hint="eastAsia"/>
          <w:sz w:val="20"/>
          <w:szCs w:val="20"/>
        </w:rPr>
        <w:t xml:space="preserve"> level CSI based on the beam selection results. On the other hand, some CSI feedback schemes have particular requirement for the selected beams. For example, linear combination based feedback mechanism is a potential </w:t>
      </w:r>
      <w:r>
        <w:rPr>
          <w:rFonts w:hAnsi="宋体"/>
          <w:sz w:val="20"/>
          <w:szCs w:val="20"/>
        </w:rPr>
        <w:t>technique</w:t>
      </w:r>
      <w:r>
        <w:rPr>
          <w:rFonts w:hAnsi="宋体" w:hint="eastAsia"/>
          <w:sz w:val="20"/>
          <w:szCs w:val="20"/>
        </w:rPr>
        <w:t xml:space="preserve"> to g</w:t>
      </w:r>
      <w:r>
        <w:rPr>
          <w:rFonts w:hAnsi="宋体" w:hint="eastAsia"/>
          <w:sz w:val="20"/>
          <w:szCs w:val="20"/>
        </w:rPr>
        <w:t xml:space="preserve">ive a better characterization than the legacy </w:t>
      </w:r>
      <w:r>
        <w:rPr>
          <w:rFonts w:hAnsi="宋体"/>
          <w:sz w:val="20"/>
          <w:szCs w:val="20"/>
        </w:rPr>
        <w:t>implicit</w:t>
      </w:r>
      <w:r>
        <w:rPr>
          <w:rFonts w:hAnsi="宋体" w:hint="eastAsia"/>
          <w:sz w:val="20"/>
          <w:szCs w:val="20"/>
        </w:rPr>
        <w:t xml:space="preserve"> feedback mechanism. Moreover, as pointed out in several contributions [5][6], linear combination feedback with orthogonal beams selected performs much better than the one with non-orthogonal beams sele</w:t>
      </w:r>
      <w:r>
        <w:rPr>
          <w:rFonts w:hAnsi="宋体" w:hint="eastAsia"/>
          <w:sz w:val="20"/>
          <w:szCs w:val="20"/>
        </w:rPr>
        <w:t>cted. To employ the linear combination based CSI feedback mechanism, orthogonal ports should be configured for UE in the 2</w:t>
      </w:r>
      <w:r>
        <w:rPr>
          <w:rFonts w:hAnsi="宋体" w:hint="eastAsia"/>
          <w:sz w:val="20"/>
          <w:szCs w:val="20"/>
          <w:vertAlign w:val="superscript"/>
        </w:rPr>
        <w:t>nd</w:t>
      </w:r>
      <w:r>
        <w:rPr>
          <w:rFonts w:hAnsi="宋体" w:hint="eastAsia"/>
          <w:sz w:val="20"/>
          <w:szCs w:val="20"/>
        </w:rPr>
        <w:t xml:space="preserve"> level CSI feedback. Hence UE</w:t>
      </w:r>
      <w:r>
        <w:rPr>
          <w:sz w:val="20"/>
          <w:szCs w:val="20"/>
        </w:rPr>
        <w:t>’</w:t>
      </w:r>
      <w:r>
        <w:rPr>
          <w:rFonts w:hAnsi="宋体" w:hint="eastAsia"/>
          <w:sz w:val="20"/>
          <w:szCs w:val="20"/>
        </w:rPr>
        <w:t>s report on beam selection in 1</w:t>
      </w:r>
      <w:r>
        <w:rPr>
          <w:rFonts w:hAnsi="宋体" w:hint="eastAsia"/>
          <w:sz w:val="20"/>
          <w:szCs w:val="20"/>
          <w:vertAlign w:val="superscript"/>
        </w:rPr>
        <w:t>st</w:t>
      </w:r>
      <w:r>
        <w:rPr>
          <w:rFonts w:hAnsi="宋体" w:hint="eastAsia"/>
          <w:sz w:val="20"/>
          <w:szCs w:val="20"/>
        </w:rPr>
        <w:t xml:space="preserve"> level should contain the information of orthogonal beams at least. H</w:t>
      </w:r>
      <w:r>
        <w:rPr>
          <w:rFonts w:hAnsi="宋体" w:hint="eastAsia"/>
          <w:sz w:val="20"/>
          <w:szCs w:val="20"/>
        </w:rPr>
        <w:t>owever, if the UE just feeds back the beams with channel measurement directly, the gNB may have trouble to find orthogonal beams based on the feedback.</w:t>
      </w:r>
    </w:p>
    <w:p w14:paraId="053C1231" w14:textId="77777777" w:rsidR="002D7CFB" w:rsidRDefault="001101C4">
      <w:pPr>
        <w:pStyle w:val="10"/>
        <w:numPr>
          <w:ilvl w:val="0"/>
          <w:numId w:val="9"/>
        </w:numPr>
        <w:adjustRightInd w:val="0"/>
        <w:snapToGrid w:val="0"/>
        <w:spacing w:before="120" w:after="200"/>
        <w:ind w:firstLineChars="0"/>
        <w:rPr>
          <w:rFonts w:hAnsi="宋体"/>
          <w:sz w:val="20"/>
          <w:szCs w:val="20"/>
        </w:rPr>
      </w:pPr>
      <w:r>
        <w:rPr>
          <w:rFonts w:hAnsi="宋体" w:hint="eastAsia"/>
          <w:sz w:val="20"/>
          <w:szCs w:val="20"/>
        </w:rPr>
        <w:t>UE</w:t>
      </w:r>
      <w:r>
        <w:rPr>
          <w:sz w:val="20"/>
          <w:szCs w:val="20"/>
        </w:rPr>
        <w:t>’</w:t>
      </w:r>
      <w:r>
        <w:rPr>
          <w:rFonts w:hint="eastAsia"/>
          <w:sz w:val="20"/>
          <w:szCs w:val="20"/>
        </w:rPr>
        <w:t xml:space="preserve">s </w:t>
      </w:r>
      <w:r>
        <w:rPr>
          <w:rFonts w:hAnsi="宋体" w:hint="eastAsia"/>
          <w:sz w:val="20"/>
          <w:szCs w:val="20"/>
        </w:rPr>
        <w:t>i</w:t>
      </w:r>
      <w:r>
        <w:rPr>
          <w:rFonts w:hAnsi="宋体"/>
          <w:sz w:val="20"/>
          <w:szCs w:val="20"/>
        </w:rPr>
        <w:t>ncorrect</w:t>
      </w:r>
      <w:r>
        <w:rPr>
          <w:rFonts w:hAnsi="宋体" w:hint="eastAsia"/>
          <w:sz w:val="20"/>
          <w:szCs w:val="20"/>
        </w:rPr>
        <w:t xml:space="preserve"> decision on beam selection: Due to the multipath channel </w:t>
      </w:r>
      <w:r>
        <w:rPr>
          <w:rFonts w:hAnsi="宋体"/>
          <w:sz w:val="20"/>
          <w:szCs w:val="20"/>
        </w:rPr>
        <w:t>propagation</w:t>
      </w:r>
      <w:r>
        <w:rPr>
          <w:rFonts w:hAnsi="宋体" w:hint="eastAsia"/>
          <w:sz w:val="20"/>
          <w:szCs w:val="20"/>
        </w:rPr>
        <w:t xml:space="preserve"> feature and beam wid</w:t>
      </w:r>
      <w:r>
        <w:rPr>
          <w:rFonts w:hAnsi="宋体" w:hint="eastAsia"/>
          <w:sz w:val="20"/>
          <w:szCs w:val="20"/>
        </w:rPr>
        <w:t>th, in the UE side, the</w:t>
      </w:r>
      <w:r>
        <w:rPr>
          <w:rFonts w:hint="eastAsia"/>
          <w:sz w:val="20"/>
          <w:szCs w:val="20"/>
        </w:rPr>
        <w:t xml:space="preserve"> </w:t>
      </w:r>
      <w:r>
        <w:rPr>
          <w:rFonts w:hAnsi="宋体" w:hint="eastAsia"/>
          <w:sz w:val="20"/>
          <w:szCs w:val="20"/>
        </w:rPr>
        <w:t xml:space="preserve">observed best beams are </w:t>
      </w:r>
      <w:r>
        <w:rPr>
          <w:rFonts w:hAnsi="宋体"/>
          <w:sz w:val="20"/>
          <w:szCs w:val="20"/>
        </w:rPr>
        <w:t>adjacent</w:t>
      </w:r>
      <w:r>
        <w:rPr>
          <w:rFonts w:hAnsi="宋体" w:hint="eastAsia"/>
          <w:sz w:val="20"/>
          <w:szCs w:val="20"/>
        </w:rPr>
        <w:t xml:space="preserve"> and correspond to the same </w:t>
      </w:r>
      <w:r>
        <w:rPr>
          <w:rFonts w:hAnsi="宋体"/>
          <w:sz w:val="20"/>
          <w:szCs w:val="20"/>
        </w:rPr>
        <w:t>Tx beam</w:t>
      </w:r>
      <w:r>
        <w:rPr>
          <w:rFonts w:hAnsi="宋体" w:hint="eastAsia"/>
          <w:sz w:val="20"/>
          <w:szCs w:val="20"/>
        </w:rPr>
        <w:t xml:space="preserve"> in some cases. Hence </w:t>
      </w:r>
      <w:r>
        <w:rPr>
          <w:rFonts w:hAnsi="宋体" w:hint="eastAsia"/>
          <w:sz w:val="20"/>
          <w:szCs w:val="20"/>
        </w:rPr>
        <w:lastRenderedPageBreak/>
        <w:t>UE may make an incorrect decision if the feedback is only based on channel measurement.</w:t>
      </w:r>
    </w:p>
    <w:p w14:paraId="6C9288E9" w14:textId="77777777" w:rsidR="002D7CFB" w:rsidRDefault="001101C4">
      <w:pPr>
        <w:adjustRightInd w:val="0"/>
        <w:snapToGrid w:val="0"/>
        <w:spacing w:before="120" w:after="200" w:line="240" w:lineRule="auto"/>
        <w:rPr>
          <w:szCs w:val="20"/>
        </w:rPr>
      </w:pPr>
      <w:r>
        <w:rPr>
          <w:rFonts w:hAnsi="宋体" w:hint="eastAsia"/>
          <w:szCs w:val="20"/>
        </w:rPr>
        <w:t>The above issues appear in beam selection of both Class</w:t>
      </w:r>
      <w:r>
        <w:rPr>
          <w:rFonts w:hAnsi="宋体" w:hint="eastAsia"/>
          <w:szCs w:val="20"/>
        </w:rPr>
        <w:t xml:space="preserve"> B feedback and hybrid CSI. </w:t>
      </w:r>
      <w:r>
        <w:rPr>
          <w:rFonts w:hint="eastAsia"/>
          <w:szCs w:val="20"/>
        </w:rPr>
        <w:t>One approach to solve this issue is to constrain UE</w:t>
      </w:r>
      <w:r>
        <w:rPr>
          <w:szCs w:val="20"/>
        </w:rPr>
        <w:t>’</w:t>
      </w:r>
      <w:r>
        <w:rPr>
          <w:rFonts w:hint="eastAsia"/>
          <w:szCs w:val="20"/>
        </w:rPr>
        <w:t>s behavior on beam measurement. Port/resource restriction on beam measurement is an efficient approach to set this constraint. For example, port/resource restriction can be app</w:t>
      </w:r>
      <w:r>
        <w:rPr>
          <w:rFonts w:hint="eastAsia"/>
          <w:szCs w:val="20"/>
        </w:rPr>
        <w:t xml:space="preserve">lied to </w:t>
      </w:r>
      <w:r>
        <w:rPr>
          <w:szCs w:val="20"/>
        </w:rPr>
        <w:t>constraint</w:t>
      </w:r>
      <w:r>
        <w:rPr>
          <w:rFonts w:hint="eastAsia"/>
          <w:szCs w:val="20"/>
        </w:rPr>
        <w:t xml:space="preserve"> the UE to measure and report particular resources or ports</w:t>
      </w:r>
      <w:r>
        <w:rPr>
          <w:rFonts w:hint="eastAsia"/>
          <w:szCs w:val="20"/>
        </w:rPr>
        <w:t xml:space="preserve"> selected from a configured resource pool. These selected or constrained resources are</w:t>
      </w:r>
      <w:r>
        <w:rPr>
          <w:rFonts w:hint="eastAsia"/>
          <w:szCs w:val="20"/>
        </w:rPr>
        <w:t xml:space="preserve"> associated with orthogonal beam group or other beams with particular requirements. On the ot</w:t>
      </w:r>
      <w:r>
        <w:rPr>
          <w:rFonts w:hint="eastAsia"/>
          <w:szCs w:val="20"/>
        </w:rPr>
        <w:t>her hand, port/resource restriction can be applied to constrain the UE only report one beam in a group of adjacent beams, e.g., QCLed ports.</w:t>
      </w:r>
      <w:r>
        <w:rPr>
          <w:rFonts w:hint="eastAsia"/>
          <w:szCs w:val="20"/>
        </w:rPr>
        <w:t xml:space="preserve"> </w:t>
      </w:r>
    </w:p>
    <w:p w14:paraId="4C9B4BCE" w14:textId="77777777" w:rsidR="002D7CFB" w:rsidRDefault="001101C4">
      <w:pPr>
        <w:adjustRightInd w:val="0"/>
        <w:snapToGrid w:val="0"/>
        <w:spacing w:before="120" w:after="200" w:line="240" w:lineRule="auto"/>
        <w:rPr>
          <w:szCs w:val="20"/>
        </w:rPr>
      </w:pPr>
      <w:r>
        <w:rPr>
          <w:rFonts w:hint="eastAsia"/>
          <w:szCs w:val="20"/>
        </w:rPr>
        <w:t xml:space="preserve">Based on the current CSI acquisition and beam management framework, detailed signaling to implement port/resource </w:t>
      </w:r>
      <w:r>
        <w:rPr>
          <w:rFonts w:hint="eastAsia"/>
          <w:szCs w:val="20"/>
        </w:rPr>
        <w:t>restriction is to support multiple resource set configuration. Specifically, in each resource setting, multiple resources are configured as a pool. This pool can be shared among a group of UEs. In each resource setting, multiple resource sets can be config</w:t>
      </w:r>
      <w:r>
        <w:rPr>
          <w:rFonts w:hint="eastAsia"/>
          <w:szCs w:val="20"/>
        </w:rPr>
        <w:t xml:space="preserve">ured. Each resource set consists of a set of resource IDs pointed to the resources defined in the pool. For example, resource setting, resource sets and resources are configured as follows. </w:t>
      </w:r>
    </w:p>
    <w:p w14:paraId="7CB7ECBB" w14:textId="77777777" w:rsidR="002D7CFB" w:rsidRDefault="001101C4">
      <w:pPr>
        <w:numPr>
          <w:ilvl w:val="0"/>
          <w:numId w:val="10"/>
        </w:numPr>
        <w:snapToGrid w:val="0"/>
        <w:spacing w:line="240" w:lineRule="auto"/>
        <w:rPr>
          <w:szCs w:val="20"/>
        </w:rPr>
      </w:pPr>
      <w:r>
        <w:rPr>
          <w:i/>
          <w:szCs w:val="20"/>
        </w:rPr>
        <w:t>Resource setting m {</w:t>
      </w:r>
      <w:r>
        <w:rPr>
          <w:i/>
          <w:szCs w:val="20"/>
        </w:rPr>
        <w:br/>
        <w:t>Resource 1, resource 2, ..., resource K</w:t>
      </w:r>
      <w:r>
        <w:rPr>
          <w:i/>
          <w:szCs w:val="20"/>
        </w:rPr>
        <w:br/>
        <w:t>Reso</w:t>
      </w:r>
      <w:r>
        <w:rPr>
          <w:i/>
          <w:szCs w:val="20"/>
        </w:rPr>
        <w:t>urce set 1 { Resource ID i</w:t>
      </w:r>
      <w:r>
        <w:rPr>
          <w:i/>
          <w:szCs w:val="20"/>
          <w:vertAlign w:val="subscript"/>
        </w:rPr>
        <w:t>1</w:t>
      </w:r>
      <w:r>
        <w:rPr>
          <w:i/>
          <w:szCs w:val="20"/>
        </w:rPr>
        <w:t>, Resource ID i</w:t>
      </w:r>
      <w:r>
        <w:rPr>
          <w:i/>
          <w:szCs w:val="20"/>
          <w:vertAlign w:val="subscript"/>
        </w:rPr>
        <w:t>2</w:t>
      </w:r>
      <w:r>
        <w:rPr>
          <w:i/>
          <w:szCs w:val="20"/>
        </w:rPr>
        <w:t>,..., Resource ID i</w:t>
      </w:r>
      <w:r>
        <w:rPr>
          <w:i/>
          <w:szCs w:val="20"/>
          <w:vertAlign w:val="subscript"/>
        </w:rPr>
        <w:t>K1</w:t>
      </w:r>
      <w:r>
        <w:rPr>
          <w:i/>
          <w:szCs w:val="20"/>
        </w:rPr>
        <w:t xml:space="preserve"> }; ... ;</w:t>
      </w:r>
      <w:r>
        <w:rPr>
          <w:i/>
          <w:szCs w:val="20"/>
        </w:rPr>
        <w:br/>
        <w:t>Resource set S {Resource ID i</w:t>
      </w:r>
      <w:r>
        <w:rPr>
          <w:i/>
          <w:szCs w:val="20"/>
          <w:vertAlign w:val="subscript"/>
        </w:rPr>
        <w:t>1</w:t>
      </w:r>
      <w:r>
        <w:rPr>
          <w:i/>
          <w:szCs w:val="20"/>
        </w:rPr>
        <w:t>, Resource ID i</w:t>
      </w:r>
      <w:r>
        <w:rPr>
          <w:i/>
          <w:szCs w:val="20"/>
          <w:vertAlign w:val="subscript"/>
        </w:rPr>
        <w:t>2</w:t>
      </w:r>
      <w:r>
        <w:rPr>
          <w:i/>
          <w:szCs w:val="20"/>
        </w:rPr>
        <w:t>,..., Resource ID i</w:t>
      </w:r>
      <w:r>
        <w:rPr>
          <w:i/>
          <w:szCs w:val="20"/>
          <w:vertAlign w:val="subscript"/>
        </w:rPr>
        <w:t>KS</w:t>
      </w:r>
      <w:r>
        <w:rPr>
          <w:i/>
          <w:szCs w:val="20"/>
        </w:rPr>
        <w:t>}</w:t>
      </w:r>
      <w:r>
        <w:rPr>
          <w:i/>
          <w:szCs w:val="20"/>
        </w:rPr>
        <w:br/>
        <w:t>}</w:t>
      </w:r>
    </w:p>
    <w:p w14:paraId="3701CC67" w14:textId="77777777" w:rsidR="002D7CFB" w:rsidRDefault="001101C4">
      <w:pPr>
        <w:adjustRightInd w:val="0"/>
        <w:snapToGrid w:val="0"/>
        <w:spacing w:before="120" w:after="200" w:line="240" w:lineRule="auto"/>
        <w:rPr>
          <w:szCs w:val="20"/>
        </w:rPr>
      </w:pPr>
      <w:r>
        <w:rPr>
          <w:rFonts w:hint="eastAsia"/>
          <w:szCs w:val="20"/>
        </w:rPr>
        <w:t>For each beam measurement, UE is</w:t>
      </w:r>
      <w:r>
        <w:rPr>
          <w:rFonts w:hint="eastAsia"/>
          <w:szCs w:val="20"/>
        </w:rPr>
        <w:t xml:space="preserve"> configured or indicated to measure and report beams of resources associated with one resource set. By doing this, port/resource restriction is reflected by the configuration of resource sets.</w:t>
      </w:r>
    </w:p>
    <w:p w14:paraId="5B0B58AB" w14:textId="77777777" w:rsidR="002D7CFB" w:rsidRDefault="001101C4">
      <w:pPr>
        <w:numPr>
          <w:ilvl w:val="255"/>
          <w:numId w:val="0"/>
        </w:numPr>
        <w:snapToGrid w:val="0"/>
        <w:spacing w:before="120" w:line="240" w:lineRule="auto"/>
        <w:rPr>
          <w:bCs/>
          <w:i/>
          <w:iCs/>
          <w:szCs w:val="20"/>
        </w:rPr>
      </w:pPr>
      <w:r>
        <w:rPr>
          <w:rFonts w:hAnsi="宋体" w:hint="eastAsia"/>
          <w:b/>
          <w:i/>
          <w:szCs w:val="20"/>
        </w:rPr>
        <w:t xml:space="preserve">Proposal 6: </w:t>
      </w:r>
      <w:r>
        <w:rPr>
          <w:rFonts w:hint="eastAsia"/>
          <w:bCs/>
          <w:i/>
          <w:iCs/>
          <w:szCs w:val="20"/>
        </w:rPr>
        <w:t>NR supports multiple resource sets in a resource se</w:t>
      </w:r>
      <w:r>
        <w:rPr>
          <w:rFonts w:hint="eastAsia"/>
          <w:bCs/>
          <w:i/>
          <w:iCs/>
          <w:szCs w:val="20"/>
        </w:rPr>
        <w:t xml:space="preserve">tting. Each of the resource sets consists of a set of resource IDs of the resources configured in the resource setting.  </w:t>
      </w:r>
    </w:p>
    <w:p w14:paraId="5D557C60" w14:textId="77777777" w:rsidR="002D7CFB" w:rsidRDefault="001101C4">
      <w:pPr>
        <w:numPr>
          <w:ilvl w:val="255"/>
          <w:numId w:val="0"/>
        </w:numPr>
        <w:snapToGrid w:val="0"/>
        <w:spacing w:line="240" w:lineRule="auto"/>
        <w:rPr>
          <w:bCs/>
          <w:i/>
          <w:iCs/>
          <w:szCs w:val="20"/>
        </w:rPr>
      </w:pPr>
      <w:r>
        <w:rPr>
          <w:rFonts w:hint="eastAsia"/>
          <w:bCs/>
          <w:i/>
          <w:iCs/>
          <w:szCs w:val="20"/>
        </w:rPr>
        <w:t>For example,</w:t>
      </w:r>
    </w:p>
    <w:p w14:paraId="33914A10" w14:textId="77777777" w:rsidR="002D7CFB" w:rsidRDefault="001101C4">
      <w:pPr>
        <w:numPr>
          <w:ilvl w:val="255"/>
          <w:numId w:val="0"/>
        </w:numPr>
        <w:adjustRightInd w:val="0"/>
        <w:snapToGrid w:val="0"/>
        <w:spacing w:line="240" w:lineRule="auto"/>
        <w:ind w:firstLine="720"/>
        <w:rPr>
          <w:rFonts w:hAnsi="宋体"/>
          <w:i/>
          <w:szCs w:val="20"/>
        </w:rPr>
      </w:pPr>
      <w:r>
        <w:rPr>
          <w:i/>
          <w:szCs w:val="20"/>
        </w:rPr>
        <w:t>Resource setting m {</w:t>
      </w:r>
      <w:r>
        <w:rPr>
          <w:i/>
          <w:szCs w:val="20"/>
        </w:rPr>
        <w:br/>
      </w:r>
      <w:r>
        <w:rPr>
          <w:rFonts w:hint="eastAsia"/>
          <w:i/>
          <w:szCs w:val="20"/>
        </w:rPr>
        <w:tab/>
      </w:r>
      <w:r>
        <w:rPr>
          <w:i/>
          <w:szCs w:val="20"/>
        </w:rPr>
        <w:t>Resource 1, resource 2, ..., resource K</w:t>
      </w:r>
      <w:r>
        <w:rPr>
          <w:i/>
          <w:szCs w:val="20"/>
        </w:rPr>
        <w:br/>
      </w:r>
      <w:r>
        <w:rPr>
          <w:rFonts w:hint="eastAsia"/>
          <w:i/>
          <w:szCs w:val="20"/>
        </w:rPr>
        <w:tab/>
      </w:r>
      <w:r>
        <w:rPr>
          <w:i/>
          <w:szCs w:val="20"/>
        </w:rPr>
        <w:t>Resource set 1 { Resource ID i</w:t>
      </w:r>
      <w:r>
        <w:rPr>
          <w:i/>
          <w:szCs w:val="20"/>
          <w:vertAlign w:val="subscript"/>
        </w:rPr>
        <w:t>1</w:t>
      </w:r>
      <w:r>
        <w:rPr>
          <w:i/>
          <w:szCs w:val="20"/>
        </w:rPr>
        <w:t>, Resource ID i</w:t>
      </w:r>
      <w:r>
        <w:rPr>
          <w:i/>
          <w:szCs w:val="20"/>
          <w:vertAlign w:val="subscript"/>
        </w:rPr>
        <w:t>2</w:t>
      </w:r>
      <w:r>
        <w:rPr>
          <w:i/>
          <w:szCs w:val="20"/>
        </w:rPr>
        <w:t xml:space="preserve">,..., </w:t>
      </w:r>
      <w:r>
        <w:rPr>
          <w:i/>
          <w:szCs w:val="20"/>
        </w:rPr>
        <w:t>Resource ID i</w:t>
      </w:r>
      <w:r>
        <w:rPr>
          <w:i/>
          <w:szCs w:val="20"/>
          <w:vertAlign w:val="subscript"/>
        </w:rPr>
        <w:t>K1</w:t>
      </w:r>
      <w:r>
        <w:rPr>
          <w:i/>
          <w:szCs w:val="20"/>
        </w:rPr>
        <w:t xml:space="preserve"> }; ... ;</w:t>
      </w:r>
      <w:r>
        <w:rPr>
          <w:i/>
          <w:szCs w:val="20"/>
        </w:rPr>
        <w:br/>
      </w:r>
      <w:r>
        <w:rPr>
          <w:rFonts w:hint="eastAsia"/>
          <w:i/>
          <w:szCs w:val="20"/>
        </w:rPr>
        <w:tab/>
      </w:r>
      <w:r>
        <w:rPr>
          <w:i/>
          <w:szCs w:val="20"/>
        </w:rPr>
        <w:t>Resource set S {Resource ID i</w:t>
      </w:r>
      <w:r>
        <w:rPr>
          <w:i/>
          <w:szCs w:val="20"/>
          <w:vertAlign w:val="subscript"/>
        </w:rPr>
        <w:t>1</w:t>
      </w:r>
      <w:r>
        <w:rPr>
          <w:i/>
          <w:szCs w:val="20"/>
        </w:rPr>
        <w:t>, Resource ID i</w:t>
      </w:r>
      <w:r>
        <w:rPr>
          <w:i/>
          <w:szCs w:val="20"/>
          <w:vertAlign w:val="subscript"/>
        </w:rPr>
        <w:t>2</w:t>
      </w:r>
      <w:r>
        <w:rPr>
          <w:i/>
          <w:szCs w:val="20"/>
        </w:rPr>
        <w:t>,..., Resource ID i</w:t>
      </w:r>
      <w:r>
        <w:rPr>
          <w:i/>
          <w:szCs w:val="20"/>
          <w:vertAlign w:val="subscript"/>
        </w:rPr>
        <w:t>KS</w:t>
      </w:r>
      <w:r>
        <w:rPr>
          <w:i/>
          <w:szCs w:val="20"/>
        </w:rPr>
        <w:t>}</w:t>
      </w:r>
      <w:r>
        <w:rPr>
          <w:i/>
          <w:szCs w:val="20"/>
        </w:rPr>
        <w:br/>
      </w:r>
      <w:r>
        <w:rPr>
          <w:rFonts w:hint="eastAsia"/>
          <w:i/>
          <w:szCs w:val="20"/>
        </w:rPr>
        <w:tab/>
      </w:r>
      <w:r>
        <w:rPr>
          <w:i/>
          <w:szCs w:val="20"/>
        </w:rPr>
        <w:t>}</w:t>
      </w:r>
    </w:p>
    <w:p w14:paraId="67D323D3" w14:textId="77777777" w:rsidR="002D7CFB" w:rsidRDefault="001101C4">
      <w:pPr>
        <w:numPr>
          <w:ilvl w:val="0"/>
          <w:numId w:val="7"/>
        </w:numPr>
        <w:spacing w:before="120" w:line="240" w:lineRule="auto"/>
        <w:ind w:left="357" w:hanging="357"/>
        <w:rPr>
          <w:b/>
          <w:sz w:val="24"/>
          <w:szCs w:val="24"/>
        </w:rPr>
      </w:pPr>
      <w:r>
        <w:rPr>
          <w:rFonts w:hint="eastAsia"/>
          <w:b/>
          <w:sz w:val="24"/>
          <w:szCs w:val="24"/>
        </w:rPr>
        <w:t>Conclusions</w:t>
      </w:r>
    </w:p>
    <w:p w14:paraId="2A123197" w14:textId="77777777" w:rsidR="002D7CFB" w:rsidRDefault="001101C4">
      <w:pPr>
        <w:adjustRightInd w:val="0"/>
        <w:snapToGrid w:val="0"/>
        <w:spacing w:before="120" w:after="200" w:line="240" w:lineRule="auto"/>
        <w:rPr>
          <w:rFonts w:hAnsi="宋体"/>
          <w:szCs w:val="20"/>
        </w:rPr>
      </w:pPr>
      <w:r>
        <w:rPr>
          <w:rFonts w:hAnsi="宋体" w:hint="eastAsia"/>
          <w:szCs w:val="20"/>
        </w:rPr>
        <w:t xml:space="preserve">In this contribution, we give some specific design on channel and interference measurements. Based on the above discussion, we have the following </w:t>
      </w:r>
      <w:r>
        <w:rPr>
          <w:rFonts w:hAnsi="宋体" w:hint="eastAsia"/>
          <w:szCs w:val="20"/>
        </w:rPr>
        <w:t>proposals.</w:t>
      </w:r>
    </w:p>
    <w:p w14:paraId="170542D4" w14:textId="77777777" w:rsidR="002D7CFB" w:rsidRDefault="001101C4">
      <w:pPr>
        <w:adjustRightInd w:val="0"/>
        <w:snapToGrid w:val="0"/>
        <w:spacing w:before="120" w:after="200" w:line="240" w:lineRule="auto"/>
        <w:rPr>
          <w:i/>
          <w:szCs w:val="20"/>
        </w:rPr>
      </w:pPr>
      <w:r>
        <w:rPr>
          <w:rFonts w:hint="eastAsia"/>
          <w:b/>
          <w:i/>
          <w:szCs w:val="20"/>
        </w:rPr>
        <w:t xml:space="preserve">Proposal 1: </w:t>
      </w:r>
      <w:r>
        <w:rPr>
          <w:rFonts w:hint="eastAsia"/>
          <w:bCs/>
          <w:i/>
          <w:szCs w:val="20"/>
        </w:rPr>
        <w:t>F</w:t>
      </w:r>
      <w:r>
        <w:rPr>
          <w:rFonts w:hint="eastAsia"/>
          <w:i/>
          <w:szCs w:val="20"/>
        </w:rPr>
        <w:t>or NZP CSI-RS based IMR</w:t>
      </w:r>
      <w:r>
        <w:rPr>
          <w:rFonts w:hint="eastAsia"/>
          <w:i/>
          <w:szCs w:val="20"/>
        </w:rPr>
        <w:t xml:space="preserve">, </w:t>
      </w:r>
      <w:r>
        <w:rPr>
          <w:rFonts w:hint="eastAsia"/>
          <w:i/>
          <w:szCs w:val="20"/>
        </w:rPr>
        <w:t>NR support</w:t>
      </w:r>
      <w:r>
        <w:rPr>
          <w:rFonts w:hint="eastAsia"/>
          <w:i/>
          <w:szCs w:val="20"/>
        </w:rPr>
        <w:t>s</w:t>
      </w:r>
      <w:r>
        <w:rPr>
          <w:rFonts w:hint="eastAsia"/>
          <w:i/>
          <w:szCs w:val="20"/>
        </w:rPr>
        <w:t xml:space="preserve"> Scheme 2</w:t>
      </w:r>
      <w:r>
        <w:rPr>
          <w:rFonts w:hint="eastAsia"/>
          <w:i/>
          <w:szCs w:val="20"/>
        </w:rPr>
        <w:t xml:space="preserve">: </w:t>
      </w:r>
      <w:r>
        <w:rPr>
          <w:rFonts w:hAnsi="宋体"/>
          <w:i/>
          <w:iCs/>
          <w:szCs w:val="20"/>
        </w:rPr>
        <w:t>Emulation on NZP CSI-RS which is represented by multiplied value of channel and precoding matrix</w:t>
      </w:r>
      <w:r>
        <w:rPr>
          <w:rFonts w:hint="eastAsia"/>
          <w:i/>
          <w:szCs w:val="20"/>
        </w:rPr>
        <w:t>.</w:t>
      </w:r>
    </w:p>
    <w:p w14:paraId="3FE171BE" w14:textId="77777777" w:rsidR="002D7CFB" w:rsidRDefault="001101C4">
      <w:pPr>
        <w:adjustRightInd w:val="0"/>
        <w:snapToGrid w:val="0"/>
        <w:spacing w:before="120" w:after="200" w:line="240" w:lineRule="auto"/>
        <w:rPr>
          <w:i/>
          <w:szCs w:val="20"/>
        </w:rPr>
      </w:pPr>
      <w:r>
        <w:rPr>
          <w:rFonts w:hint="eastAsia"/>
          <w:b/>
          <w:i/>
          <w:szCs w:val="20"/>
        </w:rPr>
        <w:t>Proposal 2:</w:t>
      </w:r>
      <w:r>
        <w:rPr>
          <w:rFonts w:hint="eastAsia"/>
          <w:i/>
          <w:szCs w:val="20"/>
        </w:rPr>
        <w:t xml:space="preserve"> NR support</w:t>
      </w:r>
      <w:r>
        <w:rPr>
          <w:rFonts w:hint="eastAsia"/>
          <w:i/>
          <w:szCs w:val="20"/>
        </w:rPr>
        <w:t>s</w:t>
      </w:r>
      <w:r>
        <w:rPr>
          <w:rFonts w:hint="eastAsia"/>
          <w:i/>
          <w:szCs w:val="20"/>
        </w:rPr>
        <w:t xml:space="preserve"> aperiodic </w:t>
      </w:r>
      <w:r>
        <w:rPr>
          <w:rFonts w:hint="eastAsia"/>
          <w:i/>
          <w:szCs w:val="20"/>
        </w:rPr>
        <w:t>IMR</w:t>
      </w:r>
      <w:r>
        <w:rPr>
          <w:rFonts w:hint="eastAsia"/>
          <w:i/>
          <w:szCs w:val="20"/>
        </w:rPr>
        <w:t xml:space="preserve"> based on shar</w:t>
      </w:r>
      <w:r>
        <w:rPr>
          <w:rFonts w:hint="eastAsia"/>
          <w:i/>
          <w:szCs w:val="20"/>
        </w:rPr>
        <w:t xml:space="preserve">ed resource setting configuration </w:t>
      </w:r>
      <w:r>
        <w:rPr>
          <w:rFonts w:hint="eastAsia"/>
          <w:i/>
          <w:szCs w:val="20"/>
        </w:rPr>
        <w:t>for</w:t>
      </w:r>
      <w:r>
        <w:rPr>
          <w:rFonts w:hint="eastAsia"/>
          <w:i/>
          <w:szCs w:val="20"/>
        </w:rPr>
        <w:t xml:space="preserve"> NZP and ZP CSI-RS</w:t>
      </w:r>
      <w:r>
        <w:rPr>
          <w:rFonts w:hint="eastAsia"/>
          <w:i/>
          <w:szCs w:val="20"/>
        </w:rPr>
        <w:t xml:space="preserve"> resources</w:t>
      </w:r>
      <w:r>
        <w:rPr>
          <w:rFonts w:hint="eastAsia"/>
          <w:i/>
          <w:szCs w:val="20"/>
        </w:rPr>
        <w:t>.</w:t>
      </w:r>
    </w:p>
    <w:p w14:paraId="46D55EBD" w14:textId="77777777" w:rsidR="002D7CFB" w:rsidRDefault="001101C4">
      <w:pPr>
        <w:adjustRightInd w:val="0"/>
        <w:snapToGrid w:val="0"/>
        <w:spacing w:before="120" w:after="200" w:line="240" w:lineRule="auto"/>
        <w:rPr>
          <w:i/>
          <w:szCs w:val="20"/>
          <w:lang w:val="en-GB"/>
        </w:rPr>
      </w:pPr>
      <w:r>
        <w:rPr>
          <w:rFonts w:hint="eastAsia"/>
          <w:b/>
          <w:i/>
          <w:szCs w:val="20"/>
          <w:lang w:val="en-GB"/>
        </w:rPr>
        <w:t>Proposal 3:</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beam</w:t>
      </w:r>
      <w:r>
        <w:rPr>
          <w:i/>
          <w:szCs w:val="20"/>
          <w:lang w:val="en-GB"/>
        </w:rPr>
        <w:t xml:space="preserve"> used </w:t>
      </w:r>
      <w:r>
        <w:rPr>
          <w:rFonts w:hint="eastAsia"/>
          <w:i/>
          <w:szCs w:val="20"/>
          <w:lang w:val="en-GB"/>
        </w:rPr>
        <w:t xml:space="preserve">for interference </w:t>
      </w:r>
      <w:r>
        <w:rPr>
          <w:i/>
          <w:szCs w:val="20"/>
          <w:lang w:val="en-GB"/>
        </w:rPr>
        <w:t>measurement is supported.</w:t>
      </w:r>
    </w:p>
    <w:p w14:paraId="02A054E7" w14:textId="77777777" w:rsidR="002D7CFB" w:rsidRDefault="001101C4">
      <w:pPr>
        <w:adjustRightInd w:val="0"/>
        <w:snapToGrid w:val="0"/>
        <w:spacing w:before="120" w:after="200" w:line="240" w:lineRule="auto"/>
        <w:rPr>
          <w:rFonts w:eastAsiaTheme="minorEastAsia"/>
        </w:rPr>
      </w:pPr>
      <w:r>
        <w:rPr>
          <w:rFonts w:eastAsiaTheme="minorEastAsia"/>
          <w:b/>
          <w:bCs/>
          <w:i/>
          <w:iCs/>
        </w:rPr>
        <w:t>Proposal</w:t>
      </w:r>
      <w:r>
        <w:rPr>
          <w:rFonts w:eastAsiaTheme="minorEastAsia" w:hint="eastAsia"/>
          <w:b/>
          <w:bCs/>
          <w:i/>
          <w:iCs/>
        </w:rPr>
        <w:t xml:space="preserve"> 4</w:t>
      </w:r>
      <w:r>
        <w:rPr>
          <w:rFonts w:eastAsiaTheme="minorEastAsia"/>
          <w:b/>
          <w:bCs/>
          <w:i/>
          <w:iCs/>
        </w:rPr>
        <w:t>:</w:t>
      </w:r>
      <w:r>
        <w:rPr>
          <w:rFonts w:eastAsiaTheme="minorEastAsia"/>
          <w:i/>
          <w:iCs/>
        </w:rPr>
        <w:t xml:space="preserve"> </w:t>
      </w:r>
      <w:r>
        <w:rPr>
          <w:rFonts w:eastAsiaTheme="minorEastAsia" w:hint="eastAsia"/>
          <w:i/>
          <w:iCs/>
        </w:rPr>
        <w:t>For NR channel and interference measurement</w:t>
      </w:r>
      <w:r>
        <w:rPr>
          <w:rFonts w:eastAsiaTheme="minorEastAsia"/>
          <w:i/>
          <w:iCs/>
        </w:rPr>
        <w:t>,</w:t>
      </w:r>
      <w:r>
        <w:rPr>
          <w:rFonts w:eastAsiaTheme="minorEastAsia" w:hint="eastAsia"/>
        </w:rPr>
        <w:t xml:space="preserve"> </w:t>
      </w:r>
      <w:r>
        <w:rPr>
          <w:rFonts w:eastAsiaTheme="minorEastAsia"/>
          <w:i/>
          <w:iCs/>
        </w:rPr>
        <w:t>CSI-RS and DMRS can be transmitted in shared RE patt</w:t>
      </w:r>
      <w:r>
        <w:rPr>
          <w:rFonts w:eastAsiaTheme="minorEastAsia"/>
          <w:i/>
          <w:iCs/>
        </w:rPr>
        <w:t>ern.</w:t>
      </w:r>
    </w:p>
    <w:p w14:paraId="5BE5C608" w14:textId="77777777" w:rsidR="002D7CFB" w:rsidRDefault="001101C4">
      <w:pPr>
        <w:adjustRightInd w:val="0"/>
        <w:snapToGrid w:val="0"/>
        <w:spacing w:before="120" w:after="200" w:line="240" w:lineRule="auto"/>
        <w:rPr>
          <w:rFonts w:hAnsi="宋体"/>
          <w:i/>
          <w:szCs w:val="20"/>
        </w:rPr>
      </w:pPr>
      <w:r>
        <w:rPr>
          <w:rFonts w:hAnsi="宋体" w:hint="eastAsia"/>
          <w:b/>
          <w:i/>
          <w:szCs w:val="20"/>
        </w:rPr>
        <w:t>Proposal 5:</w:t>
      </w:r>
      <w:r>
        <w:rPr>
          <w:rFonts w:hAnsi="宋体" w:hint="eastAsia"/>
          <w:i/>
          <w:szCs w:val="20"/>
        </w:rPr>
        <w:t xml:space="preserve"> </w:t>
      </w:r>
      <w:r>
        <w:rPr>
          <w:rFonts w:hAnsi="宋体" w:hint="eastAsia"/>
          <w:i/>
          <w:szCs w:val="20"/>
        </w:rPr>
        <w:t>Dynamic CSR indication</w:t>
      </w:r>
      <w:r>
        <w:rPr>
          <w:rFonts w:hAnsi="宋体"/>
          <w:i/>
          <w:szCs w:val="20"/>
        </w:rPr>
        <w:t xml:space="preserve"> </w:t>
      </w:r>
      <w:r>
        <w:rPr>
          <w:rFonts w:hAnsi="宋体" w:hint="eastAsia"/>
          <w:i/>
          <w:szCs w:val="20"/>
        </w:rPr>
        <w:t xml:space="preserve">based CSI feedback </w:t>
      </w:r>
      <w:r>
        <w:rPr>
          <w:rFonts w:hAnsi="宋体" w:hint="eastAsia"/>
          <w:i/>
          <w:szCs w:val="20"/>
        </w:rPr>
        <w:t>is</w:t>
      </w:r>
      <w:r>
        <w:rPr>
          <w:rFonts w:hAnsi="宋体" w:hint="eastAsia"/>
          <w:i/>
          <w:szCs w:val="20"/>
        </w:rPr>
        <w:t xml:space="preserve"> supported for NR CSI measurement and report</w:t>
      </w:r>
      <w:r>
        <w:rPr>
          <w:rFonts w:hAnsi="宋体" w:hint="eastAsia"/>
          <w:i/>
          <w:szCs w:val="20"/>
        </w:rPr>
        <w:t>.</w:t>
      </w:r>
    </w:p>
    <w:p w14:paraId="18EB0FE1" w14:textId="77777777" w:rsidR="002D7CFB" w:rsidRDefault="001101C4">
      <w:pPr>
        <w:numPr>
          <w:ilvl w:val="255"/>
          <w:numId w:val="0"/>
        </w:numPr>
        <w:snapToGrid w:val="0"/>
        <w:spacing w:before="120" w:line="240" w:lineRule="auto"/>
        <w:rPr>
          <w:bCs/>
          <w:i/>
          <w:iCs/>
          <w:szCs w:val="20"/>
        </w:rPr>
      </w:pPr>
      <w:r>
        <w:rPr>
          <w:rFonts w:hAnsi="宋体" w:hint="eastAsia"/>
          <w:b/>
          <w:i/>
          <w:szCs w:val="20"/>
        </w:rPr>
        <w:t xml:space="preserve">Proposal 6: </w:t>
      </w:r>
      <w:r>
        <w:rPr>
          <w:rFonts w:hint="eastAsia"/>
          <w:bCs/>
          <w:i/>
          <w:iCs/>
          <w:szCs w:val="20"/>
        </w:rPr>
        <w:t xml:space="preserve">NR supports multiple resource sets in a resource setting. Each of the resource sets consists of a set of resource IDs of the resources configured in the resource setting.  </w:t>
      </w:r>
    </w:p>
    <w:p w14:paraId="0CCCF598" w14:textId="77777777" w:rsidR="002D7CFB" w:rsidRDefault="001101C4">
      <w:pPr>
        <w:numPr>
          <w:ilvl w:val="255"/>
          <w:numId w:val="0"/>
        </w:numPr>
        <w:snapToGrid w:val="0"/>
        <w:spacing w:line="240" w:lineRule="auto"/>
        <w:rPr>
          <w:bCs/>
          <w:i/>
          <w:iCs/>
          <w:szCs w:val="20"/>
        </w:rPr>
      </w:pPr>
      <w:r>
        <w:rPr>
          <w:rFonts w:hint="eastAsia"/>
          <w:bCs/>
          <w:i/>
          <w:iCs/>
          <w:szCs w:val="20"/>
        </w:rPr>
        <w:t>For example,</w:t>
      </w:r>
    </w:p>
    <w:p w14:paraId="2DF68D4E" w14:textId="77777777" w:rsidR="002D7CFB" w:rsidRDefault="001101C4">
      <w:pPr>
        <w:numPr>
          <w:ilvl w:val="255"/>
          <w:numId w:val="0"/>
        </w:numPr>
        <w:adjustRightInd w:val="0"/>
        <w:snapToGrid w:val="0"/>
        <w:spacing w:line="240" w:lineRule="auto"/>
        <w:ind w:firstLine="720"/>
        <w:rPr>
          <w:rFonts w:hAnsi="宋体"/>
          <w:i/>
          <w:szCs w:val="20"/>
        </w:rPr>
      </w:pPr>
      <w:r>
        <w:rPr>
          <w:i/>
          <w:szCs w:val="20"/>
        </w:rPr>
        <w:t>Resource setting m {</w:t>
      </w:r>
      <w:r>
        <w:rPr>
          <w:i/>
          <w:szCs w:val="20"/>
        </w:rPr>
        <w:br/>
      </w:r>
      <w:r>
        <w:rPr>
          <w:rFonts w:hint="eastAsia"/>
          <w:i/>
          <w:szCs w:val="20"/>
        </w:rPr>
        <w:tab/>
      </w:r>
      <w:r>
        <w:rPr>
          <w:i/>
          <w:szCs w:val="20"/>
        </w:rPr>
        <w:t>Resource 1, resource 2, ..., resource K</w:t>
      </w:r>
      <w:r>
        <w:rPr>
          <w:i/>
          <w:szCs w:val="20"/>
        </w:rPr>
        <w:br/>
      </w:r>
      <w:r>
        <w:rPr>
          <w:rFonts w:hint="eastAsia"/>
          <w:i/>
          <w:szCs w:val="20"/>
        </w:rPr>
        <w:tab/>
      </w:r>
      <w:r>
        <w:rPr>
          <w:i/>
          <w:szCs w:val="20"/>
        </w:rPr>
        <w:t>Resourc</w:t>
      </w:r>
      <w:r>
        <w:rPr>
          <w:i/>
          <w:szCs w:val="20"/>
        </w:rPr>
        <w:t>e set 1 { Resource ID i</w:t>
      </w:r>
      <w:r>
        <w:rPr>
          <w:i/>
          <w:szCs w:val="20"/>
          <w:vertAlign w:val="subscript"/>
        </w:rPr>
        <w:t>1</w:t>
      </w:r>
      <w:r>
        <w:rPr>
          <w:i/>
          <w:szCs w:val="20"/>
        </w:rPr>
        <w:t>, Resource ID i</w:t>
      </w:r>
      <w:r>
        <w:rPr>
          <w:i/>
          <w:szCs w:val="20"/>
          <w:vertAlign w:val="subscript"/>
        </w:rPr>
        <w:t>2</w:t>
      </w:r>
      <w:r>
        <w:rPr>
          <w:i/>
          <w:szCs w:val="20"/>
        </w:rPr>
        <w:t>,..., Resource ID i</w:t>
      </w:r>
      <w:r>
        <w:rPr>
          <w:i/>
          <w:szCs w:val="20"/>
          <w:vertAlign w:val="subscript"/>
        </w:rPr>
        <w:t>K1</w:t>
      </w:r>
      <w:r>
        <w:rPr>
          <w:i/>
          <w:szCs w:val="20"/>
        </w:rPr>
        <w:t xml:space="preserve"> }; ... ;</w:t>
      </w:r>
      <w:r>
        <w:rPr>
          <w:i/>
          <w:szCs w:val="20"/>
        </w:rPr>
        <w:br/>
      </w:r>
      <w:r>
        <w:rPr>
          <w:rFonts w:hint="eastAsia"/>
          <w:i/>
          <w:szCs w:val="20"/>
        </w:rPr>
        <w:lastRenderedPageBreak/>
        <w:tab/>
      </w:r>
      <w:r>
        <w:rPr>
          <w:i/>
          <w:szCs w:val="20"/>
        </w:rPr>
        <w:t>Resource set S {Resource ID i</w:t>
      </w:r>
      <w:r>
        <w:rPr>
          <w:i/>
          <w:szCs w:val="20"/>
          <w:vertAlign w:val="subscript"/>
        </w:rPr>
        <w:t>1</w:t>
      </w:r>
      <w:r>
        <w:rPr>
          <w:i/>
          <w:szCs w:val="20"/>
        </w:rPr>
        <w:t>, Resource ID i</w:t>
      </w:r>
      <w:r>
        <w:rPr>
          <w:i/>
          <w:szCs w:val="20"/>
          <w:vertAlign w:val="subscript"/>
        </w:rPr>
        <w:t>2</w:t>
      </w:r>
      <w:r>
        <w:rPr>
          <w:i/>
          <w:szCs w:val="20"/>
        </w:rPr>
        <w:t>,..., Resource ID i</w:t>
      </w:r>
      <w:r>
        <w:rPr>
          <w:i/>
          <w:szCs w:val="20"/>
          <w:vertAlign w:val="subscript"/>
        </w:rPr>
        <w:t>KS</w:t>
      </w:r>
      <w:r>
        <w:rPr>
          <w:i/>
          <w:szCs w:val="20"/>
        </w:rPr>
        <w:t>}</w:t>
      </w:r>
      <w:r>
        <w:rPr>
          <w:i/>
          <w:szCs w:val="20"/>
        </w:rPr>
        <w:br/>
      </w:r>
      <w:r>
        <w:rPr>
          <w:rFonts w:hint="eastAsia"/>
          <w:i/>
          <w:szCs w:val="20"/>
        </w:rPr>
        <w:tab/>
      </w:r>
      <w:r>
        <w:rPr>
          <w:i/>
          <w:szCs w:val="20"/>
        </w:rPr>
        <w:t>}</w:t>
      </w:r>
    </w:p>
    <w:p w14:paraId="6697AEF1" w14:textId="77777777" w:rsidR="002D7CFB" w:rsidRDefault="001101C4">
      <w:pPr>
        <w:numPr>
          <w:ilvl w:val="0"/>
          <w:numId w:val="7"/>
        </w:numPr>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14:paraId="641F49F0" w14:textId="77777777" w:rsidR="002D7CFB" w:rsidRDefault="001101C4">
      <w:pPr>
        <w:pStyle w:val="1"/>
        <w:adjustRightInd w:val="0"/>
        <w:snapToGrid w:val="0"/>
        <w:spacing w:line="276" w:lineRule="auto"/>
        <w:rPr>
          <w:rFonts w:ascii="Times New Roman" w:hAnsi="Times New Roman"/>
          <w:sz w:val="20"/>
          <w:szCs w:val="20"/>
        </w:rPr>
      </w:pPr>
      <w:r>
        <w:rPr>
          <w:rFonts w:ascii="Times New Roman" w:hAnsi="Times New Roman" w:hint="eastAsia"/>
          <w:sz w:val="20"/>
          <w:szCs w:val="20"/>
          <w:lang w:val="en-GB"/>
        </w:rPr>
        <w:t xml:space="preserve">[1]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3GPP RAN1 RAN1#89</w:t>
      </w:r>
    </w:p>
    <w:p w14:paraId="1F6455BB" w14:textId="77777777" w:rsidR="002D7CFB" w:rsidRDefault="001101C4">
      <w:pPr>
        <w:pStyle w:val="1"/>
        <w:adjustRightInd w:val="0"/>
        <w:snapToGrid w:val="0"/>
        <w:spacing w:line="276" w:lineRule="auto"/>
        <w:rPr>
          <w:rFonts w:ascii="Times New Roman" w:hAnsi="Times New Roman"/>
          <w:sz w:val="20"/>
          <w:szCs w:val="20"/>
          <w:lang w:val="en-GB"/>
        </w:rPr>
      </w:pPr>
      <w:r>
        <w:rPr>
          <w:rFonts w:ascii="Times New Roman" w:hAnsi="Times New Roman" w:hint="eastAsia"/>
          <w:sz w:val="20"/>
          <w:szCs w:val="20"/>
          <w:lang w:val="en-GB"/>
        </w:rPr>
        <w:t xml:space="preserve">[2] R1-1608683, </w:t>
      </w:r>
      <w:r>
        <w:rPr>
          <w:rFonts w:ascii="Times New Roman" w:hAnsi="Times New Roman"/>
          <w:sz w:val="20"/>
          <w:szCs w:val="20"/>
          <w:lang w:val="en-GB"/>
        </w:rPr>
        <w:t xml:space="preserve">Discussion on interference measurement for </w:t>
      </w:r>
      <w:r>
        <w:rPr>
          <w:rFonts w:ascii="Times New Roman" w:hAnsi="Times New Roman"/>
          <w:sz w:val="20"/>
          <w:szCs w:val="20"/>
          <w:lang w:val="en-GB"/>
        </w:rPr>
        <w:t>MU-CSI</w:t>
      </w:r>
      <w:r>
        <w:rPr>
          <w:rFonts w:ascii="Times New Roman" w:hAnsi="Times New Roman" w:hint="eastAsia"/>
          <w:sz w:val="20"/>
          <w:szCs w:val="20"/>
          <w:lang w:val="en-GB"/>
        </w:rPr>
        <w:t xml:space="preserve">, </w:t>
      </w:r>
      <w:r>
        <w:rPr>
          <w:rFonts w:ascii="Times New Roman" w:hAnsi="Times New Roman"/>
          <w:sz w:val="20"/>
          <w:szCs w:val="20"/>
          <w:lang w:val="en-GB"/>
        </w:rPr>
        <w:t>ZTE, ZTE Microelectronics</w:t>
      </w:r>
    </w:p>
    <w:p w14:paraId="67399CBB" w14:textId="77777777" w:rsidR="002D7CFB" w:rsidRDefault="001101C4">
      <w:pPr>
        <w:pStyle w:val="1"/>
        <w:adjustRightInd w:val="0"/>
        <w:snapToGrid w:val="0"/>
        <w:spacing w:line="276" w:lineRule="auto"/>
        <w:rPr>
          <w:rFonts w:ascii="Times New Roman" w:hAnsi="Times New Roman"/>
          <w:sz w:val="20"/>
          <w:szCs w:val="20"/>
          <w:lang w:val="en-GB"/>
        </w:rPr>
      </w:pPr>
      <w:r>
        <w:rPr>
          <w:rFonts w:ascii="Times New Roman" w:hAnsi="Times New Roman" w:hint="eastAsia"/>
          <w:sz w:val="20"/>
          <w:szCs w:val="20"/>
          <w:lang w:val="en-GB"/>
        </w:rPr>
        <w:t xml:space="preserve">[3] R1-1608598, </w:t>
      </w:r>
      <w:r>
        <w:rPr>
          <w:rFonts w:ascii="Times New Roman" w:hAnsi="Times New Roman"/>
          <w:sz w:val="20"/>
          <w:szCs w:val="20"/>
          <w:lang w:val="en-GB"/>
        </w:rPr>
        <w:t>Interference measurement enhancement in LTE Rel-14</w:t>
      </w:r>
      <w:r>
        <w:rPr>
          <w:rFonts w:ascii="Times New Roman" w:hAnsi="Times New Roman" w:hint="eastAsia"/>
          <w:sz w:val="20"/>
          <w:szCs w:val="20"/>
          <w:lang w:val="en-GB"/>
        </w:rPr>
        <w:t>, Huawei, HiSilicon</w:t>
      </w:r>
    </w:p>
    <w:p w14:paraId="283E9BCF" w14:textId="77777777" w:rsidR="002D7CFB" w:rsidRDefault="001101C4">
      <w:pPr>
        <w:pStyle w:val="1"/>
        <w:adjustRightInd w:val="0"/>
        <w:snapToGrid w:val="0"/>
        <w:spacing w:line="276" w:lineRule="auto"/>
        <w:rPr>
          <w:rFonts w:ascii="Times New Roman" w:hAnsi="Times New Roman"/>
          <w:sz w:val="20"/>
          <w:szCs w:val="20"/>
          <w:lang w:val="en-GB"/>
        </w:rPr>
      </w:pPr>
      <w:r>
        <w:rPr>
          <w:rFonts w:ascii="Times New Roman" w:hAnsi="Times New Roman" w:hint="eastAsia"/>
          <w:sz w:val="20"/>
          <w:szCs w:val="20"/>
          <w:lang w:val="en-GB"/>
        </w:rPr>
        <w:t xml:space="preserve">[4] R1-1707126, </w:t>
      </w:r>
      <w:r>
        <w:rPr>
          <w:rFonts w:ascii="Times New Roman" w:hAnsi="Times New Roman"/>
          <w:sz w:val="20"/>
          <w:szCs w:val="20"/>
          <w:lang w:val="en-GB"/>
        </w:rPr>
        <w:t xml:space="preserve">On Type I </w:t>
      </w:r>
      <w:r>
        <w:rPr>
          <w:rFonts w:ascii="Times New Roman" w:hAnsi="Times New Roman" w:hint="eastAsia"/>
          <w:sz w:val="20"/>
          <w:szCs w:val="20"/>
          <w:lang w:val="en-GB"/>
        </w:rPr>
        <w:t xml:space="preserve">CSI feedback details, </w:t>
      </w:r>
      <w:r>
        <w:rPr>
          <w:rFonts w:ascii="Times New Roman" w:hAnsi="Times New Roman"/>
          <w:sz w:val="20"/>
          <w:szCs w:val="20"/>
          <w:lang w:val="en-GB"/>
        </w:rPr>
        <w:t>ZTE</w:t>
      </w:r>
    </w:p>
    <w:p w14:paraId="04EC20EE" w14:textId="77777777" w:rsidR="002D7CFB" w:rsidRDefault="001101C4">
      <w:pPr>
        <w:pStyle w:val="1"/>
        <w:adjustRightInd w:val="0"/>
        <w:snapToGrid w:val="0"/>
        <w:spacing w:line="276" w:lineRule="auto"/>
        <w:rPr>
          <w:rFonts w:ascii="Times New Roman" w:hAnsi="Times New Roman"/>
          <w:bCs/>
          <w:sz w:val="20"/>
          <w:szCs w:val="20"/>
        </w:rPr>
      </w:pPr>
      <w:r>
        <w:rPr>
          <w:rFonts w:ascii="Times New Roman" w:hAnsi="Times New Roman" w:hint="eastAsia"/>
          <w:bCs/>
          <w:sz w:val="20"/>
          <w:szCs w:val="20"/>
        </w:rPr>
        <w:t xml:space="preserve">[5] </w:t>
      </w:r>
      <w:r>
        <w:rPr>
          <w:rFonts w:ascii="Times New Roman" w:hAnsi="Times New Roman"/>
          <w:bCs/>
          <w:sz w:val="20"/>
          <w:szCs w:val="20"/>
        </w:rPr>
        <w:t>R1-167645</w:t>
      </w:r>
      <w:r>
        <w:rPr>
          <w:rFonts w:ascii="Times New Roman" w:hAnsi="Times New Roman" w:hint="eastAsia"/>
          <w:bCs/>
          <w:sz w:val="20"/>
          <w:szCs w:val="20"/>
        </w:rPr>
        <w:t xml:space="preserve">, </w:t>
      </w:r>
      <w:r>
        <w:rPr>
          <w:rFonts w:ascii="Times New Roman" w:hAnsi="Times New Roman"/>
          <w:bCs/>
          <w:sz w:val="20"/>
          <w:szCs w:val="20"/>
        </w:rPr>
        <w:t>W1 design for implicit advanced CSI reporting</w:t>
      </w:r>
      <w:r>
        <w:rPr>
          <w:rFonts w:ascii="Times New Roman" w:hAnsi="Times New Roman" w:hint="eastAsia"/>
          <w:bCs/>
          <w:sz w:val="20"/>
          <w:szCs w:val="20"/>
        </w:rPr>
        <w:t xml:space="preserve">, </w:t>
      </w:r>
      <w:r>
        <w:rPr>
          <w:rFonts w:ascii="Times New Roman" w:hAnsi="Times New Roman"/>
          <w:bCs/>
          <w:sz w:val="20"/>
          <w:szCs w:val="20"/>
        </w:rPr>
        <w:t>Ericsson</w:t>
      </w:r>
    </w:p>
    <w:p w14:paraId="71B7FDEF" w14:textId="77777777" w:rsidR="002D7CFB" w:rsidRDefault="001101C4">
      <w:pPr>
        <w:pStyle w:val="1"/>
        <w:adjustRightInd w:val="0"/>
        <w:snapToGrid w:val="0"/>
        <w:spacing w:line="276" w:lineRule="auto"/>
        <w:rPr>
          <w:rFonts w:ascii="Times New Roman" w:hAnsi="Times New Roman"/>
          <w:bCs/>
          <w:sz w:val="20"/>
          <w:szCs w:val="20"/>
        </w:rPr>
      </w:pPr>
      <w:r>
        <w:rPr>
          <w:rFonts w:ascii="Times New Roman" w:hAnsi="Times New Roman" w:hint="eastAsia"/>
          <w:bCs/>
          <w:sz w:val="20"/>
          <w:szCs w:val="20"/>
        </w:rPr>
        <w:t xml:space="preserve">[6] </w:t>
      </w:r>
      <w:r>
        <w:rPr>
          <w:rFonts w:ascii="Times New Roman" w:hAnsi="Times New Roman"/>
          <w:bCs/>
          <w:sz w:val="20"/>
          <w:szCs w:val="20"/>
        </w:rPr>
        <w:t>R1-161141</w:t>
      </w:r>
      <w:r>
        <w:rPr>
          <w:rFonts w:ascii="Times New Roman" w:hAnsi="Times New Roman"/>
          <w:bCs/>
          <w:sz w:val="20"/>
          <w:szCs w:val="20"/>
        </w:rPr>
        <w:t>9</w:t>
      </w:r>
      <w:r>
        <w:rPr>
          <w:rFonts w:ascii="Times New Roman" w:hAnsi="Times New Roman" w:hint="eastAsia"/>
          <w:bCs/>
          <w:sz w:val="20"/>
          <w:szCs w:val="20"/>
        </w:rPr>
        <w:t xml:space="preserve">, </w:t>
      </w:r>
      <w:r>
        <w:rPr>
          <w:rFonts w:ascii="Times New Roman" w:hAnsi="Times New Roman"/>
          <w:bCs/>
          <w:sz w:val="20"/>
          <w:szCs w:val="20"/>
        </w:rPr>
        <w:t>Linear combination based CSI report for NR MIMO</w:t>
      </w:r>
      <w:r>
        <w:rPr>
          <w:rFonts w:ascii="Times New Roman" w:hAnsi="Times New Roman" w:hint="eastAsia"/>
          <w:bCs/>
          <w:sz w:val="20"/>
          <w:szCs w:val="20"/>
        </w:rPr>
        <w:t xml:space="preserve">, </w:t>
      </w:r>
      <w:r>
        <w:rPr>
          <w:rFonts w:ascii="Times New Roman" w:hAnsi="Times New Roman"/>
          <w:bCs/>
          <w:sz w:val="20"/>
          <w:szCs w:val="20"/>
        </w:rPr>
        <w:t>ZTE</w:t>
      </w:r>
    </w:p>
    <w:p w14:paraId="3A95B1DC" w14:textId="77777777" w:rsidR="002D7CFB" w:rsidRDefault="002D7CFB">
      <w:pPr>
        <w:pStyle w:val="1"/>
        <w:spacing w:line="276" w:lineRule="auto"/>
        <w:rPr>
          <w:rFonts w:ascii="Times New Roman" w:hAnsi="Times New Roman"/>
          <w:sz w:val="20"/>
          <w:szCs w:val="20"/>
        </w:rPr>
      </w:pPr>
    </w:p>
    <w:sectPr w:rsidR="002D7CFB">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E40AE"/>
    <w:multiLevelType w:val="multilevel"/>
    <w:tmpl w:val="1E5E40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43E44B61"/>
    <w:multiLevelType w:val="multilevel"/>
    <w:tmpl w:val="43E44B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nsid w:val="594A5A6F"/>
    <w:multiLevelType w:val="singleLevel"/>
    <w:tmpl w:val="594A5A6F"/>
    <w:lvl w:ilvl="0">
      <w:start w:val="1"/>
      <w:numFmt w:val="bullet"/>
      <w:lvlText w:val=""/>
      <w:lvlJc w:val="left"/>
      <w:pPr>
        <w:ind w:left="420" w:hanging="420"/>
      </w:pPr>
      <w:rPr>
        <w:rFonts w:ascii="Wingdings" w:hAnsi="Wingdings" w:hint="default"/>
      </w:rPr>
    </w:lvl>
  </w:abstractNum>
  <w:abstractNum w:abstractNumId="6">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2"/>
  </w:num>
  <w:num w:numId="3">
    <w:abstractNumId w:val="7"/>
  </w:num>
  <w:num w:numId="4">
    <w:abstractNumId w:val="1"/>
  </w:num>
  <w:num w:numId="5">
    <w:abstractNumId w:val="4"/>
  </w:num>
  <w:num w:numId="6">
    <w:abstractNumId w:val="8"/>
  </w:num>
  <w:num w:numId="7">
    <w:abstractNumId w:val="6"/>
  </w:num>
  <w:num w:numId="8">
    <w:abstractNumId w:val="3"/>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468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335"/>
    <w:rsid w:val="000D2C0B"/>
    <w:rsid w:val="000D32CA"/>
    <w:rsid w:val="000D3518"/>
    <w:rsid w:val="000D37E9"/>
    <w:rsid w:val="000D3BD4"/>
    <w:rsid w:val="000D4343"/>
    <w:rsid w:val="000D463D"/>
    <w:rsid w:val="000D4A82"/>
    <w:rsid w:val="000D4ECB"/>
    <w:rsid w:val="000D5EAA"/>
    <w:rsid w:val="000D624C"/>
    <w:rsid w:val="000D63D7"/>
    <w:rsid w:val="000D642E"/>
    <w:rsid w:val="000D6561"/>
    <w:rsid w:val="000D6CD2"/>
    <w:rsid w:val="000D709B"/>
    <w:rsid w:val="000D744C"/>
    <w:rsid w:val="000E0001"/>
    <w:rsid w:val="000E0044"/>
    <w:rsid w:val="000E0442"/>
    <w:rsid w:val="000E0C5D"/>
    <w:rsid w:val="000E0F41"/>
    <w:rsid w:val="000E1EE2"/>
    <w:rsid w:val="000E22BB"/>
    <w:rsid w:val="000E2524"/>
    <w:rsid w:val="000E2A6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01C4"/>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A2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4BD9"/>
    <w:rsid w:val="00135450"/>
    <w:rsid w:val="00135BC2"/>
    <w:rsid w:val="00135E29"/>
    <w:rsid w:val="001360F6"/>
    <w:rsid w:val="001361A8"/>
    <w:rsid w:val="0013671C"/>
    <w:rsid w:val="001367C9"/>
    <w:rsid w:val="00136948"/>
    <w:rsid w:val="00136B3C"/>
    <w:rsid w:val="00136FA8"/>
    <w:rsid w:val="001404E2"/>
    <w:rsid w:val="00140B11"/>
    <w:rsid w:val="00140B35"/>
    <w:rsid w:val="00140E7D"/>
    <w:rsid w:val="00140FB4"/>
    <w:rsid w:val="001417C1"/>
    <w:rsid w:val="00141DBE"/>
    <w:rsid w:val="00141E48"/>
    <w:rsid w:val="00141F34"/>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2C3"/>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249"/>
    <w:rsid w:val="00174F42"/>
    <w:rsid w:val="00175373"/>
    <w:rsid w:val="00175977"/>
    <w:rsid w:val="00175F02"/>
    <w:rsid w:val="0017626A"/>
    <w:rsid w:val="0017677C"/>
    <w:rsid w:val="0017681D"/>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1"/>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6B33"/>
    <w:rsid w:val="001C7302"/>
    <w:rsid w:val="001C7E66"/>
    <w:rsid w:val="001D00E8"/>
    <w:rsid w:val="001D041A"/>
    <w:rsid w:val="001D0969"/>
    <w:rsid w:val="001D0D60"/>
    <w:rsid w:val="001D1182"/>
    <w:rsid w:val="001D139B"/>
    <w:rsid w:val="001D217A"/>
    <w:rsid w:val="001D23BC"/>
    <w:rsid w:val="001D2810"/>
    <w:rsid w:val="001D2CB4"/>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64F"/>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37B8"/>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102"/>
    <w:rsid w:val="00225581"/>
    <w:rsid w:val="002262C9"/>
    <w:rsid w:val="002266D3"/>
    <w:rsid w:val="00226A26"/>
    <w:rsid w:val="00226EB9"/>
    <w:rsid w:val="002273B3"/>
    <w:rsid w:val="002279DB"/>
    <w:rsid w:val="00230358"/>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3D"/>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1F7"/>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129"/>
    <w:rsid w:val="00265587"/>
    <w:rsid w:val="002667F2"/>
    <w:rsid w:val="00267714"/>
    <w:rsid w:val="00267B49"/>
    <w:rsid w:val="002708C7"/>
    <w:rsid w:val="002708D2"/>
    <w:rsid w:val="00270C18"/>
    <w:rsid w:val="002710F3"/>
    <w:rsid w:val="00271126"/>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0EA3"/>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C07"/>
    <w:rsid w:val="002C2D68"/>
    <w:rsid w:val="002C2F13"/>
    <w:rsid w:val="002C31DC"/>
    <w:rsid w:val="002C3787"/>
    <w:rsid w:val="002C397F"/>
    <w:rsid w:val="002C3C64"/>
    <w:rsid w:val="002C46EC"/>
    <w:rsid w:val="002C47EF"/>
    <w:rsid w:val="002C49AE"/>
    <w:rsid w:val="002C51C1"/>
    <w:rsid w:val="002C58BF"/>
    <w:rsid w:val="002C69AE"/>
    <w:rsid w:val="002C6B21"/>
    <w:rsid w:val="002C6BB6"/>
    <w:rsid w:val="002C6DB1"/>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D7CFB"/>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9C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2C48"/>
    <w:rsid w:val="003237A4"/>
    <w:rsid w:val="00323BE3"/>
    <w:rsid w:val="003244E4"/>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0BF7"/>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AED"/>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4B4E"/>
    <w:rsid w:val="00375349"/>
    <w:rsid w:val="0037543A"/>
    <w:rsid w:val="00375730"/>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6C2"/>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0C9A"/>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6FC6"/>
    <w:rsid w:val="003C7DEA"/>
    <w:rsid w:val="003C7FD5"/>
    <w:rsid w:val="003D0BB2"/>
    <w:rsid w:val="003D151B"/>
    <w:rsid w:val="003D1577"/>
    <w:rsid w:val="003D1DED"/>
    <w:rsid w:val="003D3650"/>
    <w:rsid w:val="003D3977"/>
    <w:rsid w:val="003D3C02"/>
    <w:rsid w:val="003D430F"/>
    <w:rsid w:val="003D4C03"/>
    <w:rsid w:val="003D4F39"/>
    <w:rsid w:val="003D504B"/>
    <w:rsid w:val="003D53D8"/>
    <w:rsid w:val="003D55AE"/>
    <w:rsid w:val="003D55FB"/>
    <w:rsid w:val="003D569C"/>
    <w:rsid w:val="003D5FC7"/>
    <w:rsid w:val="003D652E"/>
    <w:rsid w:val="003D6E0B"/>
    <w:rsid w:val="003D746D"/>
    <w:rsid w:val="003D7A58"/>
    <w:rsid w:val="003D7FF5"/>
    <w:rsid w:val="003E0372"/>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02"/>
    <w:rsid w:val="003F16ED"/>
    <w:rsid w:val="003F2118"/>
    <w:rsid w:val="003F3839"/>
    <w:rsid w:val="003F39DF"/>
    <w:rsid w:val="003F3E85"/>
    <w:rsid w:val="003F402A"/>
    <w:rsid w:val="003F47B3"/>
    <w:rsid w:val="003F47FB"/>
    <w:rsid w:val="003F4964"/>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5C0E"/>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1E0D"/>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3717"/>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15E"/>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6E27"/>
    <w:rsid w:val="00486FF9"/>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D96"/>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6318"/>
    <w:rsid w:val="004D7A70"/>
    <w:rsid w:val="004D7D34"/>
    <w:rsid w:val="004D7FE7"/>
    <w:rsid w:val="004E0055"/>
    <w:rsid w:val="004E0EC5"/>
    <w:rsid w:val="004E120E"/>
    <w:rsid w:val="004E174B"/>
    <w:rsid w:val="004E2074"/>
    <w:rsid w:val="004E248C"/>
    <w:rsid w:val="004E2C77"/>
    <w:rsid w:val="004E3294"/>
    <w:rsid w:val="004E36AC"/>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88B"/>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50"/>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085F"/>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032"/>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4B4A"/>
    <w:rsid w:val="005956E1"/>
    <w:rsid w:val="00595BAD"/>
    <w:rsid w:val="005960F4"/>
    <w:rsid w:val="005964C5"/>
    <w:rsid w:val="00596794"/>
    <w:rsid w:val="005967D1"/>
    <w:rsid w:val="00596C1B"/>
    <w:rsid w:val="00596C60"/>
    <w:rsid w:val="0059736B"/>
    <w:rsid w:val="00597908"/>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36F"/>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2389"/>
    <w:rsid w:val="005E315F"/>
    <w:rsid w:val="005E3A54"/>
    <w:rsid w:val="005E4359"/>
    <w:rsid w:val="005E4682"/>
    <w:rsid w:val="005E5AC5"/>
    <w:rsid w:val="005E5DDD"/>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3C09"/>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57995"/>
    <w:rsid w:val="006608BB"/>
    <w:rsid w:val="00660E03"/>
    <w:rsid w:val="00661951"/>
    <w:rsid w:val="00661F4D"/>
    <w:rsid w:val="00663852"/>
    <w:rsid w:val="0066493B"/>
    <w:rsid w:val="006657CB"/>
    <w:rsid w:val="00665926"/>
    <w:rsid w:val="00665C68"/>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119"/>
    <w:rsid w:val="006726C8"/>
    <w:rsid w:val="0067299B"/>
    <w:rsid w:val="00672A45"/>
    <w:rsid w:val="00672B37"/>
    <w:rsid w:val="00672EE9"/>
    <w:rsid w:val="0067350A"/>
    <w:rsid w:val="00673C30"/>
    <w:rsid w:val="00673C39"/>
    <w:rsid w:val="00674D4D"/>
    <w:rsid w:val="00674F7A"/>
    <w:rsid w:val="00674FA0"/>
    <w:rsid w:val="0067510C"/>
    <w:rsid w:val="006751BB"/>
    <w:rsid w:val="0067692C"/>
    <w:rsid w:val="00676B82"/>
    <w:rsid w:val="00676C97"/>
    <w:rsid w:val="00676D63"/>
    <w:rsid w:val="00676FD5"/>
    <w:rsid w:val="00677BE8"/>
    <w:rsid w:val="00677C6B"/>
    <w:rsid w:val="00677F26"/>
    <w:rsid w:val="006803C1"/>
    <w:rsid w:val="0068053C"/>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39BD"/>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20A"/>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251"/>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A24"/>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3F2F"/>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1EB"/>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2FFA"/>
    <w:rsid w:val="0073339C"/>
    <w:rsid w:val="00733639"/>
    <w:rsid w:val="007339CA"/>
    <w:rsid w:val="00733CEA"/>
    <w:rsid w:val="007341DD"/>
    <w:rsid w:val="00734209"/>
    <w:rsid w:val="007342C7"/>
    <w:rsid w:val="00734374"/>
    <w:rsid w:val="00735018"/>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BAE"/>
    <w:rsid w:val="00755C96"/>
    <w:rsid w:val="007564E1"/>
    <w:rsid w:val="00756D83"/>
    <w:rsid w:val="00757C03"/>
    <w:rsid w:val="00757E5B"/>
    <w:rsid w:val="00757FE9"/>
    <w:rsid w:val="00760142"/>
    <w:rsid w:val="00760351"/>
    <w:rsid w:val="00760A9D"/>
    <w:rsid w:val="00760CD4"/>
    <w:rsid w:val="007611A9"/>
    <w:rsid w:val="0076120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9F7"/>
    <w:rsid w:val="007A6AC3"/>
    <w:rsid w:val="007A6C5B"/>
    <w:rsid w:val="007A6CB9"/>
    <w:rsid w:val="007A7019"/>
    <w:rsid w:val="007A7227"/>
    <w:rsid w:val="007A765A"/>
    <w:rsid w:val="007A791C"/>
    <w:rsid w:val="007A79D6"/>
    <w:rsid w:val="007A7EB9"/>
    <w:rsid w:val="007B0341"/>
    <w:rsid w:val="007B04D8"/>
    <w:rsid w:val="007B115F"/>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B7415"/>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1F66"/>
    <w:rsid w:val="007D2212"/>
    <w:rsid w:val="007D227F"/>
    <w:rsid w:val="007D2AAB"/>
    <w:rsid w:val="007D2C77"/>
    <w:rsid w:val="007D2EA1"/>
    <w:rsid w:val="007D2F65"/>
    <w:rsid w:val="007D46FF"/>
    <w:rsid w:val="007D4D30"/>
    <w:rsid w:val="007D4F07"/>
    <w:rsid w:val="007D514B"/>
    <w:rsid w:val="007D5F6C"/>
    <w:rsid w:val="007D632A"/>
    <w:rsid w:val="007D6B45"/>
    <w:rsid w:val="007D6CF7"/>
    <w:rsid w:val="007D71EF"/>
    <w:rsid w:val="007D7239"/>
    <w:rsid w:val="007D774D"/>
    <w:rsid w:val="007D79BE"/>
    <w:rsid w:val="007D7B7C"/>
    <w:rsid w:val="007E00C7"/>
    <w:rsid w:val="007E0B67"/>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5E88"/>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7B7"/>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761"/>
    <w:rsid w:val="0085697D"/>
    <w:rsid w:val="00856AB7"/>
    <w:rsid w:val="00857901"/>
    <w:rsid w:val="00857ADC"/>
    <w:rsid w:val="00857D02"/>
    <w:rsid w:val="00860A5F"/>
    <w:rsid w:val="008617E6"/>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16DB"/>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B7D"/>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B70"/>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5A6"/>
    <w:rsid w:val="008C27EF"/>
    <w:rsid w:val="008C280A"/>
    <w:rsid w:val="008C3D09"/>
    <w:rsid w:val="008C40D1"/>
    <w:rsid w:val="008C4B6F"/>
    <w:rsid w:val="008C6DA9"/>
    <w:rsid w:val="008C6E53"/>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94D"/>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19C2"/>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A9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0B62"/>
    <w:rsid w:val="00941DFF"/>
    <w:rsid w:val="009432A0"/>
    <w:rsid w:val="009440FC"/>
    <w:rsid w:val="00944795"/>
    <w:rsid w:val="00945A18"/>
    <w:rsid w:val="00945D0A"/>
    <w:rsid w:val="009463AB"/>
    <w:rsid w:val="009477F0"/>
    <w:rsid w:val="0094799E"/>
    <w:rsid w:val="00947DCD"/>
    <w:rsid w:val="00950CCC"/>
    <w:rsid w:val="00950D1A"/>
    <w:rsid w:val="009510A1"/>
    <w:rsid w:val="009519A3"/>
    <w:rsid w:val="00951AE5"/>
    <w:rsid w:val="00953898"/>
    <w:rsid w:val="00953C27"/>
    <w:rsid w:val="00953C6E"/>
    <w:rsid w:val="00954D2A"/>
    <w:rsid w:val="00955177"/>
    <w:rsid w:val="009559DE"/>
    <w:rsid w:val="0095650A"/>
    <w:rsid w:val="0095721D"/>
    <w:rsid w:val="00957FF4"/>
    <w:rsid w:val="0096019D"/>
    <w:rsid w:val="00960DB8"/>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4FE"/>
    <w:rsid w:val="009765B9"/>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582"/>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526"/>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6806"/>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1DC"/>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9AB"/>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208"/>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2"/>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587"/>
    <w:rsid w:val="00A72EC9"/>
    <w:rsid w:val="00A72FCD"/>
    <w:rsid w:val="00A730FF"/>
    <w:rsid w:val="00A74239"/>
    <w:rsid w:val="00A752B5"/>
    <w:rsid w:val="00A754B6"/>
    <w:rsid w:val="00A766B7"/>
    <w:rsid w:val="00A769BE"/>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167"/>
    <w:rsid w:val="00AA568F"/>
    <w:rsid w:val="00AA58F5"/>
    <w:rsid w:val="00AA5949"/>
    <w:rsid w:val="00AA59F3"/>
    <w:rsid w:val="00AA5C96"/>
    <w:rsid w:val="00AA6050"/>
    <w:rsid w:val="00AA6B33"/>
    <w:rsid w:val="00AA6E2C"/>
    <w:rsid w:val="00AA6FD8"/>
    <w:rsid w:val="00AA70E2"/>
    <w:rsid w:val="00AA71FB"/>
    <w:rsid w:val="00AA7B44"/>
    <w:rsid w:val="00AA7C36"/>
    <w:rsid w:val="00AB08FF"/>
    <w:rsid w:val="00AB0DA9"/>
    <w:rsid w:val="00AB1219"/>
    <w:rsid w:val="00AB14DE"/>
    <w:rsid w:val="00AB1A05"/>
    <w:rsid w:val="00AB1A49"/>
    <w:rsid w:val="00AB1E43"/>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8F1"/>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6D8F"/>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4C4D"/>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86"/>
    <w:rsid w:val="00B87CAC"/>
    <w:rsid w:val="00B91712"/>
    <w:rsid w:val="00B9198B"/>
    <w:rsid w:val="00B92731"/>
    <w:rsid w:val="00B92918"/>
    <w:rsid w:val="00B92BF1"/>
    <w:rsid w:val="00B92CB5"/>
    <w:rsid w:val="00B93337"/>
    <w:rsid w:val="00B93C9F"/>
    <w:rsid w:val="00B93CF5"/>
    <w:rsid w:val="00B93D19"/>
    <w:rsid w:val="00B93E04"/>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667"/>
    <w:rsid w:val="00BA68F6"/>
    <w:rsid w:val="00BA705D"/>
    <w:rsid w:val="00BA7842"/>
    <w:rsid w:val="00BA7920"/>
    <w:rsid w:val="00BB04C1"/>
    <w:rsid w:val="00BB12FC"/>
    <w:rsid w:val="00BB1810"/>
    <w:rsid w:val="00BB21B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5BE3"/>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B9"/>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235"/>
    <w:rsid w:val="00C2657B"/>
    <w:rsid w:val="00C266A8"/>
    <w:rsid w:val="00C26A79"/>
    <w:rsid w:val="00C26DFB"/>
    <w:rsid w:val="00C26E91"/>
    <w:rsid w:val="00C26F8A"/>
    <w:rsid w:val="00C272D4"/>
    <w:rsid w:val="00C2737B"/>
    <w:rsid w:val="00C273AD"/>
    <w:rsid w:val="00C27780"/>
    <w:rsid w:val="00C3000D"/>
    <w:rsid w:val="00C302E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45B9"/>
    <w:rsid w:val="00C45465"/>
    <w:rsid w:val="00C4566D"/>
    <w:rsid w:val="00C45D55"/>
    <w:rsid w:val="00C46AD4"/>
    <w:rsid w:val="00C470D3"/>
    <w:rsid w:val="00C4719A"/>
    <w:rsid w:val="00C47534"/>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047"/>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548"/>
    <w:rsid w:val="00C85B41"/>
    <w:rsid w:val="00C85CAD"/>
    <w:rsid w:val="00C85DDA"/>
    <w:rsid w:val="00C86031"/>
    <w:rsid w:val="00C87480"/>
    <w:rsid w:val="00C87733"/>
    <w:rsid w:val="00C877F6"/>
    <w:rsid w:val="00C900FB"/>
    <w:rsid w:val="00C904F0"/>
    <w:rsid w:val="00C9056C"/>
    <w:rsid w:val="00C91332"/>
    <w:rsid w:val="00C91646"/>
    <w:rsid w:val="00C93097"/>
    <w:rsid w:val="00C93141"/>
    <w:rsid w:val="00C939AC"/>
    <w:rsid w:val="00C93BFD"/>
    <w:rsid w:val="00C93D37"/>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3E65"/>
    <w:rsid w:val="00CD47FB"/>
    <w:rsid w:val="00CD48A9"/>
    <w:rsid w:val="00CD48E0"/>
    <w:rsid w:val="00CD4BC5"/>
    <w:rsid w:val="00CD546D"/>
    <w:rsid w:val="00CD572D"/>
    <w:rsid w:val="00CD6049"/>
    <w:rsid w:val="00CD6422"/>
    <w:rsid w:val="00CD6482"/>
    <w:rsid w:val="00CD691D"/>
    <w:rsid w:val="00CD7954"/>
    <w:rsid w:val="00CE11FF"/>
    <w:rsid w:val="00CE17BF"/>
    <w:rsid w:val="00CE1FB0"/>
    <w:rsid w:val="00CE2575"/>
    <w:rsid w:val="00CE32FF"/>
    <w:rsid w:val="00CE3686"/>
    <w:rsid w:val="00CE3C3A"/>
    <w:rsid w:val="00CE3EFA"/>
    <w:rsid w:val="00CE4404"/>
    <w:rsid w:val="00CE4E99"/>
    <w:rsid w:val="00CE541D"/>
    <w:rsid w:val="00CE5587"/>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129"/>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0FB"/>
    <w:rsid w:val="00D054E2"/>
    <w:rsid w:val="00D0579E"/>
    <w:rsid w:val="00D05CC2"/>
    <w:rsid w:val="00D05D4B"/>
    <w:rsid w:val="00D05DE4"/>
    <w:rsid w:val="00D06C9D"/>
    <w:rsid w:val="00D073FF"/>
    <w:rsid w:val="00D07478"/>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2BB"/>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BC3"/>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072"/>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A03"/>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5F2"/>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EF0"/>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6E7"/>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4F6C"/>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C762F"/>
    <w:rsid w:val="00ED022E"/>
    <w:rsid w:val="00ED072F"/>
    <w:rsid w:val="00ED099D"/>
    <w:rsid w:val="00ED0A70"/>
    <w:rsid w:val="00ED0B18"/>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323A"/>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43B"/>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0A"/>
    <w:rsid w:val="00F015F7"/>
    <w:rsid w:val="00F02949"/>
    <w:rsid w:val="00F02A5D"/>
    <w:rsid w:val="00F03472"/>
    <w:rsid w:val="00F038D8"/>
    <w:rsid w:val="00F03DC7"/>
    <w:rsid w:val="00F03F48"/>
    <w:rsid w:val="00F045EE"/>
    <w:rsid w:val="00F04E08"/>
    <w:rsid w:val="00F05702"/>
    <w:rsid w:val="00F07F5F"/>
    <w:rsid w:val="00F101CA"/>
    <w:rsid w:val="00F107CF"/>
    <w:rsid w:val="00F10D9C"/>
    <w:rsid w:val="00F11344"/>
    <w:rsid w:val="00F11B42"/>
    <w:rsid w:val="00F12239"/>
    <w:rsid w:val="00F12829"/>
    <w:rsid w:val="00F129E7"/>
    <w:rsid w:val="00F12A65"/>
    <w:rsid w:val="00F12B7C"/>
    <w:rsid w:val="00F137B9"/>
    <w:rsid w:val="00F1385B"/>
    <w:rsid w:val="00F142A4"/>
    <w:rsid w:val="00F144AA"/>
    <w:rsid w:val="00F15D3F"/>
    <w:rsid w:val="00F1679D"/>
    <w:rsid w:val="00F16826"/>
    <w:rsid w:val="00F16CFA"/>
    <w:rsid w:val="00F174C8"/>
    <w:rsid w:val="00F17696"/>
    <w:rsid w:val="00F176B8"/>
    <w:rsid w:val="00F17BA1"/>
    <w:rsid w:val="00F20382"/>
    <w:rsid w:val="00F20F0C"/>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1D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1D5"/>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A65"/>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860"/>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 w:val="01617B41"/>
    <w:rsid w:val="02CE3242"/>
    <w:rsid w:val="03B871FF"/>
    <w:rsid w:val="04C3637F"/>
    <w:rsid w:val="05A12089"/>
    <w:rsid w:val="06030BE5"/>
    <w:rsid w:val="06273CEA"/>
    <w:rsid w:val="0723385B"/>
    <w:rsid w:val="0E9D54F1"/>
    <w:rsid w:val="10F321C2"/>
    <w:rsid w:val="123529D8"/>
    <w:rsid w:val="126549CA"/>
    <w:rsid w:val="13056C8E"/>
    <w:rsid w:val="166A591C"/>
    <w:rsid w:val="17FD3E87"/>
    <w:rsid w:val="19242100"/>
    <w:rsid w:val="1B3F3861"/>
    <w:rsid w:val="1C1D6BC1"/>
    <w:rsid w:val="1C37495B"/>
    <w:rsid w:val="1DC42747"/>
    <w:rsid w:val="219041D7"/>
    <w:rsid w:val="23594EF1"/>
    <w:rsid w:val="25993C65"/>
    <w:rsid w:val="28141B82"/>
    <w:rsid w:val="2AED48A9"/>
    <w:rsid w:val="2D0840CC"/>
    <w:rsid w:val="2D4E6785"/>
    <w:rsid w:val="321700F1"/>
    <w:rsid w:val="323E68FD"/>
    <w:rsid w:val="338D727C"/>
    <w:rsid w:val="34023941"/>
    <w:rsid w:val="35C20340"/>
    <w:rsid w:val="363A5068"/>
    <w:rsid w:val="3A6D2546"/>
    <w:rsid w:val="3C6477F6"/>
    <w:rsid w:val="3D733394"/>
    <w:rsid w:val="3DD20EF6"/>
    <w:rsid w:val="3DDB6089"/>
    <w:rsid w:val="3ED31C5C"/>
    <w:rsid w:val="437E5D86"/>
    <w:rsid w:val="4572287B"/>
    <w:rsid w:val="458C0974"/>
    <w:rsid w:val="491627C5"/>
    <w:rsid w:val="4C3F4368"/>
    <w:rsid w:val="4C7A645A"/>
    <w:rsid w:val="4CCE1830"/>
    <w:rsid w:val="4DA5773F"/>
    <w:rsid w:val="4E827DEC"/>
    <w:rsid w:val="4FDE797C"/>
    <w:rsid w:val="52C34551"/>
    <w:rsid w:val="540E4A63"/>
    <w:rsid w:val="55F115A2"/>
    <w:rsid w:val="56CE2D21"/>
    <w:rsid w:val="592522DB"/>
    <w:rsid w:val="5CC76076"/>
    <w:rsid w:val="5D9A5F56"/>
    <w:rsid w:val="5E445BA4"/>
    <w:rsid w:val="63C531F2"/>
    <w:rsid w:val="678C3CFA"/>
    <w:rsid w:val="697C4D2D"/>
    <w:rsid w:val="6DA970D8"/>
    <w:rsid w:val="6EEC0AE5"/>
    <w:rsid w:val="6EFE07C9"/>
    <w:rsid w:val="6F092401"/>
    <w:rsid w:val="764A1AAB"/>
    <w:rsid w:val="780571D0"/>
    <w:rsid w:val="7B68512D"/>
    <w:rsid w:val="7BBB7779"/>
    <w:rsid w:val="7DEB743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6EC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line="276" w:lineRule="auto"/>
      <w:jc w:val="both"/>
    </w:pPr>
    <w:rPr>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i/>
      <w:iCs/>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outlineLvl w:val="3"/>
    </w:pPr>
    <w:rPr>
      <w:i/>
      <w:iCs/>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smallCap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Cs w:val="20"/>
    </w:rPr>
  </w:style>
  <w:style w:type="paragraph" w:styleId="NormalIndent">
    <w:name w:val="Normal Indent"/>
    <w:basedOn w:val="Normal"/>
    <w:qFormat/>
    <w:pPr>
      <w:widowControl w:val="0"/>
      <w:spacing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line="240" w:lineRule="auto"/>
    </w:pPr>
    <w:rPr>
      <w:b/>
      <w:bCs/>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line="240" w:lineRule="auto"/>
    </w:pPr>
    <w:rPr>
      <w:color w:val="0000FF"/>
      <w:kern w:val="2"/>
      <w:sz w:val="21"/>
      <w:szCs w:val="20"/>
    </w:rPr>
  </w:style>
  <w:style w:type="paragraph" w:styleId="BalloonText">
    <w:name w:val="Balloon Text"/>
    <w:basedOn w:val="Normal"/>
    <w:link w:val="BalloonTextChar"/>
    <w:unhideWhenUsed/>
    <w:qFormat/>
    <w:pPr>
      <w:spacing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line="240" w:lineRule="auto"/>
    </w:pPr>
    <w:rPr>
      <w:rFonts w:ascii="Arial" w:eastAsia="MS Mincho" w:hAnsi="Arial"/>
      <w:b/>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line="240" w:lineRule="auto"/>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rFonts w:ascii="Calibri" w:hAnsi="Calibri"/>
      <w:sz w:val="22"/>
      <w:szCs w:val="22"/>
      <w:lang w:val="en-US"/>
    </w:rPr>
  </w:style>
  <w:style w:type="character" w:customStyle="1" w:styleId="word">
    <w:name w:val="word"/>
    <w:basedOn w:val="DefaultParagraphFont"/>
    <w:qFormat/>
  </w:style>
  <w:style w:type="paragraph" w:customStyle="1" w:styleId="10">
    <w:name w:val="列出段落1"/>
    <w:basedOn w:val="Normal"/>
    <w:link w:val="Char"/>
    <w:uiPriority w:val="99"/>
    <w:qFormat/>
    <w:pPr>
      <w:widowControl w:val="0"/>
      <w:spacing w:line="240" w:lineRule="auto"/>
      <w:ind w:firstLineChars="200" w:firstLine="420"/>
    </w:pPr>
    <w:rPr>
      <w:kern w:val="2"/>
      <w:sz w:val="21"/>
    </w:rPr>
  </w:style>
  <w:style w:type="character" w:customStyle="1" w:styleId="Heading3Char">
    <w:name w:val="Heading 3 Char"/>
    <w:link w:val="Heading3"/>
    <w:qFormat/>
    <w:rPr>
      <w:rFonts w:ascii="Times New Roman" w:hAnsi="Times New Roman"/>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line="240" w:lineRule="auto"/>
      <w:ind w:firstLineChars="200" w:firstLine="420"/>
    </w:pPr>
    <w:rPr>
      <w:kern w:val="2"/>
      <w:sz w:val="21"/>
    </w:rPr>
  </w:style>
  <w:style w:type="paragraph" w:customStyle="1" w:styleId="TAL">
    <w:name w:val="TAL"/>
    <w:basedOn w:val="Normal"/>
    <w:qFormat/>
    <w:pPr>
      <w:keepNext/>
      <w:keepLines/>
      <w:spacing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qFormat/>
    <w:pPr>
      <w:spacing w:line="240" w:lineRule="auto"/>
    </w:pPr>
    <w:rPr>
      <w:rFonts w:eastAsia="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b/>
      <w:bCs/>
      <w:sz w:val="18"/>
      <w:szCs w:val="18"/>
      <w:lang w:val="en-US" w:eastAsia="en-US"/>
    </w:rPr>
  </w:style>
  <w:style w:type="paragraph" w:customStyle="1" w:styleId="Affiliation">
    <w:name w:val="Affiliation"/>
    <w:uiPriority w:val="99"/>
    <w:qFormat/>
    <w:pPr>
      <w:jc w:val="center"/>
    </w:pPr>
    <w:rPr>
      <w:lang w:val="en-US" w:eastAsia="en-US"/>
    </w:rPr>
  </w:style>
  <w:style w:type="paragraph" w:customStyle="1" w:styleId="Author">
    <w:name w:val="Author"/>
    <w:uiPriority w:val="99"/>
    <w:qFormat/>
    <w:pPr>
      <w:spacing w:before="360" w:after="40"/>
      <w:jc w:val="center"/>
    </w:pPr>
    <w:rPr>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qFormat/>
    <w:pPr>
      <w:numPr>
        <w:numId w:val="3"/>
      </w:numPr>
      <w:spacing w:before="80" w:after="200"/>
      <w:jc w:val="center"/>
    </w:pPr>
    <w:rPr>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sz w:val="16"/>
      <w:szCs w:val="16"/>
      <w:lang w:val="en-US" w:eastAsia="en-US"/>
    </w:rPr>
  </w:style>
  <w:style w:type="paragraph" w:customStyle="1" w:styleId="keywords">
    <w:name w:val="key words"/>
    <w:qFormat/>
    <w:pPr>
      <w:spacing w:after="120"/>
      <w:ind w:firstLine="288"/>
      <w:jc w:val="both"/>
    </w:pPr>
    <w:rPr>
      <w:b/>
      <w:bCs/>
      <w:i/>
      <w:iCs/>
      <w:sz w:val="18"/>
      <w:szCs w:val="18"/>
      <w:lang w:val="en-US" w:eastAsia="en-US"/>
    </w:rPr>
  </w:style>
  <w:style w:type="paragraph" w:customStyle="1" w:styleId="papersubtitle">
    <w:name w:val="paper subtitle"/>
    <w:pPr>
      <w:spacing w:after="120"/>
      <w:jc w:val="center"/>
    </w:pPr>
    <w:rPr>
      <w:rFonts w:eastAsia="MS Mincho"/>
      <w:sz w:val="28"/>
      <w:szCs w:val="28"/>
      <w:lang w:val="en-US" w:eastAsia="en-US"/>
    </w:rPr>
  </w:style>
  <w:style w:type="paragraph" w:customStyle="1" w:styleId="papertitle">
    <w:name w:val="paper title"/>
    <w:qFormat/>
    <w:pPr>
      <w:spacing w:after="120"/>
      <w:jc w:val="center"/>
    </w:pPr>
    <w:rPr>
      <w:rFonts w:eastAsia="MS Mincho"/>
      <w:sz w:val="48"/>
      <w:szCs w:val="48"/>
      <w:lang w:val="en-US" w:eastAsia="en-US"/>
    </w:rPr>
  </w:style>
  <w:style w:type="paragraph" w:customStyle="1" w:styleId="references">
    <w:name w:val="references"/>
    <w:qFormat/>
    <w:pPr>
      <w:numPr>
        <w:numId w:val="5"/>
      </w:numPr>
      <w:spacing w:after="50" w:line="180" w:lineRule="exact"/>
      <w:jc w:val="both"/>
    </w:pPr>
    <w:rPr>
      <w:rFonts w:eastAsia="MS Mincho"/>
      <w:sz w:val="16"/>
      <w:szCs w:val="16"/>
      <w:lang w:val="en-US" w:eastAsia="en-US"/>
    </w:rPr>
  </w:style>
  <w:style w:type="paragraph" w:customStyle="1" w:styleId="sponsors">
    <w:name w:val="sponsors"/>
    <w:pPr>
      <w:framePr w:wrap="around" w:hAnchor="text" w:x="615" w:y="2239"/>
      <w:pBdr>
        <w:top w:val="single" w:sz="4" w:space="2" w:color="auto"/>
      </w:pBdr>
      <w:ind w:firstLine="288"/>
    </w:pPr>
    <w:rPr>
      <w:sz w:val="16"/>
      <w:szCs w:val="16"/>
      <w:lang w:val="en-US" w:eastAsia="en-US"/>
    </w:rPr>
  </w:style>
  <w:style w:type="paragraph" w:customStyle="1" w:styleId="tablecolhead">
    <w:name w:val="table col head"/>
    <w:basedOn w:val="Normal"/>
    <w:qFormat/>
    <w:pPr>
      <w:spacing w:line="240" w:lineRule="auto"/>
      <w:jc w:val="center"/>
    </w:pPr>
    <w:rPr>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sz w:val="16"/>
      <w:szCs w:val="16"/>
      <w:lang w:val="en-US" w:eastAsia="en-US"/>
    </w:rPr>
  </w:style>
  <w:style w:type="paragraph" w:customStyle="1" w:styleId="tablefootnote">
    <w:name w:val="table footnote"/>
    <w:qFormat/>
    <w:pPr>
      <w:spacing w:before="60" w:after="30"/>
      <w:jc w:val="right"/>
    </w:pPr>
    <w:rPr>
      <w:sz w:val="12"/>
      <w:szCs w:val="12"/>
      <w:lang w:val="en-US" w:eastAsia="en-US"/>
    </w:rPr>
  </w:style>
  <w:style w:type="paragraph" w:customStyle="1" w:styleId="tablehead">
    <w:name w:val="table head"/>
    <w:qFormat/>
    <w:pPr>
      <w:numPr>
        <w:numId w:val="6"/>
      </w:numPr>
      <w:spacing w:before="240" w:after="120" w:line="216" w:lineRule="auto"/>
      <w:jc w:val="center"/>
    </w:pPr>
    <w:rPr>
      <w:smallCaps/>
      <w:sz w:val="16"/>
      <w:szCs w:val="16"/>
      <w:lang w:val="en-US" w:eastAsia="en-US"/>
    </w:rPr>
  </w:style>
  <w:style w:type="paragraph" w:customStyle="1" w:styleId="StyleAbstractItalic">
    <w:name w:val="Style Abstract + Italic"/>
    <w:basedOn w:val="Abstract"/>
    <w:link w:val="StyleAbstractItalicChar"/>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character" w:customStyle="1" w:styleId="Char">
    <w:name w:val="列出段落 Char"/>
    <w:link w:val="10"/>
    <w:uiPriority w:val="34"/>
    <w:qFormat/>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AC2120-C733-7642-9799-E0CAB4A8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2163</Words>
  <Characters>12332</Characters>
  <Application>Microsoft Macintosh Word</Application>
  <DocSecurity>0</DocSecurity>
  <Lines>102</Lines>
  <Paragraphs>28</Paragraphs>
  <ScaleCrop>false</ScaleCrop>
  <Company>MS</Company>
  <LinksUpToDate>false</LinksUpToDate>
  <CharactersWithSpaces>14467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cp:lastPrinted>2016-08-08T07:57:00Z</cp:lastPrinted>
  <dcterms:created xsi:type="dcterms:W3CDTF">2017-08-12T04:01:00Z</dcterms:created>
  <dcterms:modified xsi:type="dcterms:W3CDTF">2017-08-12T04:01:00Z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